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0EFA3" w14:textId="77777777" w:rsidR="001171F9" w:rsidRPr="00DC4710" w:rsidRDefault="001171F9" w:rsidP="001171F9">
      <w:pPr>
        <w:pStyle w:val="Titre"/>
        <w:spacing w:before="240"/>
        <w:jc w:val="center"/>
        <w:rPr>
          <w:color w:val="324D72"/>
        </w:rPr>
      </w:pPr>
      <w:bookmarkStart w:id="0" w:name="_Hlk83339518"/>
      <w:bookmarkStart w:id="1" w:name="_Hlk52917581"/>
      <w:bookmarkEnd w:id="0"/>
      <w:r w:rsidRPr="00DC4710">
        <w:rPr>
          <w:color w:val="324D72"/>
        </w:rPr>
        <w:t>[Nom de la municipalité]</w:t>
      </w:r>
    </w:p>
    <w:bookmarkEnd w:id="1"/>
    <w:p w14:paraId="3C7EBF0C" w14:textId="110158B3" w:rsidR="006D3EC9" w:rsidRDefault="006D3EC9" w:rsidP="00E54490">
      <w:r>
        <w:br w:type="page"/>
      </w:r>
    </w:p>
    <w:p w14:paraId="022B7424" w14:textId="04DC9E08" w:rsidR="006D3EC9" w:rsidRDefault="006D3EC9" w:rsidP="00E54490"/>
    <w:p w14:paraId="17C5C325" w14:textId="77777777" w:rsidR="00FB2A3E" w:rsidRDefault="00FB2A3E" w:rsidP="00E54490">
      <w:r>
        <w:br w:type="page"/>
      </w:r>
    </w:p>
    <w:p w14:paraId="5BC5E2B7" w14:textId="77777777" w:rsidR="002432EF" w:rsidRDefault="002432EF" w:rsidP="00E54490">
      <w:pPr>
        <w:rPr>
          <w:lang w:eastAsia="zh-CN"/>
        </w:rPr>
        <w:sectPr w:rsidR="002432EF" w:rsidSect="00E6175B">
          <w:headerReference w:type="even" r:id="rId8"/>
          <w:headerReference w:type="default" r:id="rId9"/>
          <w:footerReference w:type="even" r:id="rId10"/>
          <w:footerReference w:type="default" r:id="rId11"/>
          <w:headerReference w:type="first" r:id="rId12"/>
          <w:footerReference w:type="first" r:id="rId13"/>
          <w:pgSz w:w="12240" w:h="15840"/>
          <w:pgMar w:top="1440" w:right="1797" w:bottom="1440" w:left="1797" w:header="709" w:footer="709" w:gutter="0"/>
          <w:cols w:space="708"/>
          <w:titlePg/>
          <w:docGrid w:linePitch="360"/>
        </w:sectPr>
      </w:pPr>
    </w:p>
    <w:p w14:paraId="4CCAD9F3" w14:textId="79EB2B35" w:rsidR="00AB56AF" w:rsidRPr="00EC00B5" w:rsidRDefault="00AB56AF" w:rsidP="00F43EDA">
      <w:pPr>
        <w:pStyle w:val="Titre1"/>
        <w:numPr>
          <w:ilvl w:val="0"/>
          <w:numId w:val="0"/>
        </w:numPr>
        <w:rPr>
          <w:rFonts w:eastAsia="SimSun"/>
          <w:lang w:eastAsia="zh-CN"/>
        </w:rPr>
      </w:pPr>
      <w:bookmarkStart w:id="2" w:name="_Toc82825158"/>
      <w:r w:rsidRPr="00EC00B5">
        <w:rPr>
          <w:rFonts w:eastAsia="SimSun"/>
          <w:lang w:eastAsia="zh-CN"/>
        </w:rPr>
        <w:lastRenderedPageBreak/>
        <w:t>Avant-propos</w:t>
      </w:r>
      <w:bookmarkEnd w:id="2"/>
    </w:p>
    <w:p w14:paraId="129886A1" w14:textId="77777777" w:rsidR="00B15274" w:rsidRPr="00B15274" w:rsidRDefault="00B15274" w:rsidP="00B14373">
      <w:pPr>
        <w:spacing w:before="200"/>
        <w:rPr>
          <w:sz w:val="28"/>
          <w:szCs w:val="28"/>
          <w:lang w:eastAsia="zh-CN"/>
        </w:rPr>
      </w:pPr>
      <w:r w:rsidRPr="00B15274">
        <w:rPr>
          <w:sz w:val="28"/>
          <w:szCs w:val="28"/>
          <w:lang w:eastAsia="zh-CN"/>
        </w:rPr>
        <w:t xml:space="preserve">Le programme Municipalités amies des aînés au Québec du Secrétariat aux aînés du ministère de la Santé et des Services sociaux est déployé depuis 2009, soit une douzaine d’années. </w:t>
      </w:r>
    </w:p>
    <w:p w14:paraId="00719CB8" w14:textId="77777777" w:rsidR="00B15274" w:rsidRPr="00B15274" w:rsidRDefault="00B15274" w:rsidP="00B15274">
      <w:pPr>
        <w:rPr>
          <w:sz w:val="28"/>
          <w:szCs w:val="28"/>
          <w:lang w:eastAsia="zh-CN"/>
        </w:rPr>
      </w:pPr>
      <w:r w:rsidRPr="00B15274">
        <w:rPr>
          <w:sz w:val="28"/>
          <w:szCs w:val="28"/>
          <w:lang w:eastAsia="zh-CN"/>
        </w:rPr>
        <w:t>Procurer des outils de travail qui facilitent la démarche MADA et permettent d’en atteindre les objectifs constitue une préoccupation constante.</w:t>
      </w:r>
    </w:p>
    <w:p w14:paraId="2195E43C" w14:textId="77777777" w:rsidR="00B15274" w:rsidRPr="00B15274" w:rsidRDefault="00B15274" w:rsidP="00B15274">
      <w:pPr>
        <w:spacing w:after="240"/>
        <w:rPr>
          <w:sz w:val="28"/>
          <w:szCs w:val="28"/>
          <w:lang w:eastAsia="zh-CN"/>
        </w:rPr>
      </w:pPr>
      <w:r w:rsidRPr="00B15274">
        <w:rPr>
          <w:sz w:val="28"/>
          <w:szCs w:val="28"/>
          <w:lang w:eastAsia="zh-CN"/>
        </w:rPr>
        <w:t xml:space="preserve">Le document </w:t>
      </w:r>
      <w:r w:rsidRPr="00B15274">
        <w:rPr>
          <w:i/>
          <w:iCs/>
          <w:sz w:val="28"/>
          <w:szCs w:val="28"/>
          <w:lang w:eastAsia="zh-CN"/>
        </w:rPr>
        <w:t>Les caractéristiques des aînés</w:t>
      </w:r>
      <w:r w:rsidRPr="00B15274">
        <w:rPr>
          <w:sz w:val="28"/>
          <w:szCs w:val="28"/>
          <w:lang w:eastAsia="zh-CN"/>
        </w:rPr>
        <w:t xml:space="preserve"> est un outil d’information qui présente </w:t>
      </w:r>
      <w:r w:rsidRPr="00B15274">
        <w:rPr>
          <w:b/>
          <w:bCs/>
          <w:sz w:val="28"/>
          <w:szCs w:val="28"/>
          <w:lang w:eastAsia="zh-CN"/>
        </w:rPr>
        <w:t>certaines particularités des aînés reflétant leur diversité et qui souligne l’importance de les reconnaître</w:t>
      </w:r>
      <w:r w:rsidRPr="00B15274">
        <w:rPr>
          <w:sz w:val="28"/>
          <w:szCs w:val="28"/>
          <w:lang w:eastAsia="zh-CN"/>
        </w:rPr>
        <w:t xml:space="preserve"> en réalisant la démarche MADA. De telles informations permettent d’en apprendre davantage sur eux, de mieux distinguer les stéréotypes souvent véhiculés à leur égard, de voir leurs différences et leurs similitudes, de même que les écarts observables dans leurs conditions de vie.</w:t>
      </w:r>
    </w:p>
    <w:p w14:paraId="51EEA150" w14:textId="77777777" w:rsidR="00B15274" w:rsidRPr="00B15274" w:rsidRDefault="00B15274" w:rsidP="00B15274">
      <w:pPr>
        <w:spacing w:after="240"/>
        <w:rPr>
          <w:sz w:val="28"/>
          <w:szCs w:val="28"/>
          <w:lang w:eastAsia="zh-CN"/>
        </w:rPr>
      </w:pPr>
      <w:r w:rsidRPr="00B15274">
        <w:rPr>
          <w:sz w:val="28"/>
          <w:szCs w:val="28"/>
          <w:lang w:eastAsia="zh-CN"/>
        </w:rPr>
        <w:t>En étant alertes, nous pouvons éviter que des personnes aînées soient exclues, discriminées ou mises à l’écart et empêcher que soient façonnées les conditions d’un isolement social qui est dommageable pour leur équilibre et leur santé.</w:t>
      </w:r>
    </w:p>
    <w:p w14:paraId="49202D61" w14:textId="5F6954C1" w:rsidR="00B46D26" w:rsidRPr="00993BFC" w:rsidRDefault="00B46D26" w:rsidP="00B46D26">
      <w:pPr>
        <w:rPr>
          <w:sz w:val="28"/>
          <w:szCs w:val="28"/>
          <w:lang w:eastAsia="zh-CN"/>
        </w:rPr>
      </w:pPr>
    </w:p>
    <w:p w14:paraId="54A05FBC" w14:textId="6FEDD646" w:rsidR="00AB56AF" w:rsidRDefault="00AB56AF" w:rsidP="00E54490">
      <w:pPr>
        <w:rPr>
          <w:lang w:eastAsia="zh-CN"/>
        </w:rPr>
      </w:pPr>
    </w:p>
    <w:p w14:paraId="4EB79CE8" w14:textId="77777777" w:rsidR="002E3537" w:rsidRDefault="006D3EC9" w:rsidP="00E54490">
      <w:pPr>
        <w:sectPr w:rsidR="002E3537" w:rsidSect="00362142">
          <w:headerReference w:type="even" r:id="rId14"/>
          <w:footerReference w:type="even" r:id="rId15"/>
          <w:headerReference w:type="first" r:id="rId16"/>
          <w:footerReference w:type="first" r:id="rId17"/>
          <w:pgSz w:w="12240" w:h="15840"/>
          <w:pgMar w:top="1440" w:right="1797" w:bottom="1440" w:left="1797" w:header="709" w:footer="709" w:gutter="0"/>
          <w:cols w:space="708"/>
          <w:docGrid w:linePitch="360"/>
        </w:sectPr>
      </w:pPr>
      <w:r w:rsidRPr="00AB56AF">
        <w:br w:type="page"/>
      </w:r>
    </w:p>
    <w:p w14:paraId="3C610DF0" w14:textId="2008FCFB" w:rsidR="002D2203" w:rsidRPr="00577279" w:rsidRDefault="002D2203" w:rsidP="002E3537">
      <w:pPr>
        <w:pStyle w:val="Titre1"/>
        <w:numPr>
          <w:ilvl w:val="0"/>
          <w:numId w:val="0"/>
        </w:numPr>
      </w:pPr>
      <w:r>
        <w:lastRenderedPageBreak/>
        <w:t>Contenu</w:t>
      </w:r>
    </w:p>
    <w:p w14:paraId="726077F7" w14:textId="13DDE8A7" w:rsidR="002D2203" w:rsidRPr="00CB2C4C" w:rsidRDefault="000A23AE" w:rsidP="002D2203">
      <w:r>
        <w:rPr>
          <w:noProof/>
          <w:lang w:eastAsia="zh-CN"/>
        </w:rPr>
        <mc:AlternateContent>
          <mc:Choice Requires="wps">
            <w:drawing>
              <wp:anchor distT="0" distB="0" distL="114300" distR="114300" simplePos="0" relativeHeight="251661312" behindDoc="1" locked="0" layoutInCell="1" allowOverlap="1" wp14:anchorId="3C6D755A" wp14:editId="1F460427">
                <wp:simplePos x="0" y="0"/>
                <wp:positionH relativeFrom="column">
                  <wp:posOffset>-184165</wp:posOffset>
                </wp:positionH>
                <wp:positionV relativeFrom="paragraph">
                  <wp:posOffset>141236</wp:posOffset>
                </wp:positionV>
                <wp:extent cx="5911720" cy="5061097"/>
                <wp:effectExtent l="0" t="0" r="0" b="6350"/>
                <wp:wrapNone/>
                <wp:docPr id="4" name="Rectangle 4"/>
                <wp:cNvGraphicFramePr/>
                <a:graphic xmlns:a="http://schemas.openxmlformats.org/drawingml/2006/main">
                  <a:graphicData uri="http://schemas.microsoft.com/office/word/2010/wordprocessingShape">
                    <wps:wsp>
                      <wps:cNvSpPr/>
                      <wps:spPr>
                        <a:xfrm>
                          <a:off x="0" y="0"/>
                          <a:ext cx="5911720" cy="5061097"/>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550D7" id="Rectangle 4" o:spid="_x0000_s1026" style="position:absolute;margin-left:-14.5pt;margin-top:11.1pt;width:465.5pt;height:39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" fillcolor="#25acc1" stroked="f" strokeweight="1pt"/>
            </w:pict>
          </mc:Fallback>
        </mc:AlternateContent>
      </w:r>
    </w:p>
    <w:p w14:paraId="77A3C7D3" w14:textId="492EFF4A" w:rsidR="00B15274" w:rsidRPr="00B15274" w:rsidRDefault="00B15274" w:rsidP="00B15274">
      <w:pPr>
        <w:pStyle w:val="encadre"/>
        <w:numPr>
          <w:ilvl w:val="0"/>
          <w:numId w:val="24"/>
        </w:numPr>
        <w:ind w:left="714" w:right="284" w:hanging="357"/>
        <w:rPr>
          <w:rFonts w:cs="Arial"/>
          <w:b w:val="0"/>
          <w:bCs/>
          <w:sz w:val="28"/>
          <w:szCs w:val="28"/>
        </w:rPr>
      </w:pPr>
      <w:r w:rsidRPr="00B15274">
        <w:rPr>
          <w:rFonts w:cs="Arial"/>
          <w:b w:val="0"/>
          <w:bCs/>
          <w:sz w:val="28"/>
          <w:szCs w:val="28"/>
        </w:rPr>
        <w:t>La première section définit le terme aîné au Québec selon la perspective des démographes et celle qui est retenue dans le Guide d’accompagnement pour la réalisation de la démarche Municipalité amie des aînés.</w:t>
      </w:r>
    </w:p>
    <w:p w14:paraId="6B92F14D" w14:textId="52ADAAA8" w:rsidR="00B15274" w:rsidRPr="00B15274" w:rsidRDefault="00B15274" w:rsidP="00B15274">
      <w:pPr>
        <w:pStyle w:val="encadre"/>
        <w:numPr>
          <w:ilvl w:val="0"/>
          <w:numId w:val="24"/>
        </w:numPr>
        <w:ind w:left="714" w:right="284" w:hanging="357"/>
        <w:rPr>
          <w:rFonts w:cs="Arial"/>
          <w:b w:val="0"/>
          <w:bCs/>
          <w:sz w:val="28"/>
          <w:szCs w:val="28"/>
        </w:rPr>
      </w:pPr>
      <w:r w:rsidRPr="00B15274">
        <w:rPr>
          <w:rFonts w:cs="Arial"/>
          <w:b w:val="0"/>
          <w:bCs/>
          <w:sz w:val="28"/>
          <w:szCs w:val="28"/>
        </w:rPr>
        <w:t>La seconde section aborde différentes caractéristiques qui décrivent les ressemblances et les différences entre les groupes formant la population aînée au Québec, principalement sous les angles suivants :</w:t>
      </w:r>
    </w:p>
    <w:p w14:paraId="7F400E1B" w14:textId="1F260684" w:rsidR="00B15274" w:rsidRPr="00B15274" w:rsidRDefault="00B15274" w:rsidP="00B15274">
      <w:pPr>
        <w:pStyle w:val="encadre"/>
        <w:numPr>
          <w:ilvl w:val="0"/>
          <w:numId w:val="34"/>
        </w:numPr>
        <w:ind w:right="284"/>
        <w:rPr>
          <w:rFonts w:cs="Arial"/>
          <w:sz w:val="28"/>
          <w:szCs w:val="28"/>
        </w:rPr>
      </w:pPr>
      <w:r w:rsidRPr="00B15274">
        <w:rPr>
          <w:rFonts w:cs="Arial"/>
          <w:sz w:val="28"/>
          <w:szCs w:val="28"/>
        </w:rPr>
        <w:t>L’âge et l’espérance de vie</w:t>
      </w:r>
    </w:p>
    <w:p w14:paraId="576A1AD1" w14:textId="5B381B03" w:rsidR="00B15274" w:rsidRPr="00B15274" w:rsidRDefault="00B15274" w:rsidP="00B15274">
      <w:pPr>
        <w:pStyle w:val="encadre"/>
        <w:numPr>
          <w:ilvl w:val="0"/>
          <w:numId w:val="34"/>
        </w:numPr>
        <w:ind w:right="284"/>
        <w:rPr>
          <w:rFonts w:cs="Arial"/>
          <w:sz w:val="28"/>
          <w:szCs w:val="28"/>
        </w:rPr>
      </w:pPr>
      <w:r w:rsidRPr="00B15274">
        <w:rPr>
          <w:rFonts w:cs="Arial"/>
          <w:sz w:val="28"/>
          <w:szCs w:val="28"/>
        </w:rPr>
        <w:t>L’accès aux activités selon l’âge</w:t>
      </w:r>
    </w:p>
    <w:p w14:paraId="1C93AB41" w14:textId="63DF1A8C" w:rsidR="00B15274" w:rsidRPr="00B15274" w:rsidRDefault="00B15274" w:rsidP="00B15274">
      <w:pPr>
        <w:pStyle w:val="encadre"/>
        <w:numPr>
          <w:ilvl w:val="0"/>
          <w:numId w:val="34"/>
        </w:numPr>
        <w:ind w:right="284"/>
        <w:rPr>
          <w:rFonts w:cs="Arial"/>
          <w:sz w:val="28"/>
          <w:szCs w:val="28"/>
        </w:rPr>
      </w:pPr>
      <w:r w:rsidRPr="00B15274">
        <w:rPr>
          <w:rFonts w:cs="Arial"/>
          <w:sz w:val="28"/>
          <w:szCs w:val="28"/>
        </w:rPr>
        <w:t>Le genre et la diversité des champs d’intérêt</w:t>
      </w:r>
    </w:p>
    <w:p w14:paraId="681DA298" w14:textId="06921A61" w:rsidR="00B15274" w:rsidRPr="00B15274" w:rsidRDefault="00B15274" w:rsidP="00B15274">
      <w:pPr>
        <w:pStyle w:val="encadre"/>
        <w:numPr>
          <w:ilvl w:val="0"/>
          <w:numId w:val="34"/>
        </w:numPr>
        <w:ind w:right="284"/>
        <w:rPr>
          <w:rFonts w:cs="Arial"/>
          <w:sz w:val="28"/>
          <w:szCs w:val="28"/>
        </w:rPr>
      </w:pPr>
      <w:r w:rsidRPr="00B15274">
        <w:rPr>
          <w:rFonts w:cs="Arial"/>
          <w:sz w:val="28"/>
          <w:szCs w:val="28"/>
        </w:rPr>
        <w:t>Le revenu et les inégalités</w:t>
      </w:r>
    </w:p>
    <w:p w14:paraId="53F39415" w14:textId="1DD1C268" w:rsidR="00B15274" w:rsidRPr="00B15274" w:rsidRDefault="00B15274" w:rsidP="00B15274">
      <w:pPr>
        <w:pStyle w:val="encadre"/>
        <w:numPr>
          <w:ilvl w:val="0"/>
          <w:numId w:val="34"/>
        </w:numPr>
        <w:ind w:right="284"/>
        <w:rPr>
          <w:rFonts w:cs="Arial"/>
          <w:sz w:val="28"/>
          <w:szCs w:val="28"/>
        </w:rPr>
      </w:pPr>
      <w:r w:rsidRPr="00B15274">
        <w:rPr>
          <w:rFonts w:cs="Arial"/>
          <w:sz w:val="28"/>
          <w:szCs w:val="28"/>
        </w:rPr>
        <w:t>Les aînés immigrants</w:t>
      </w:r>
    </w:p>
    <w:p w14:paraId="7CE96621" w14:textId="014C73F6" w:rsidR="00B15274" w:rsidRPr="00B15274" w:rsidRDefault="00B15274" w:rsidP="00B15274">
      <w:pPr>
        <w:pStyle w:val="encadre"/>
        <w:numPr>
          <w:ilvl w:val="0"/>
          <w:numId w:val="34"/>
        </w:numPr>
        <w:ind w:right="284"/>
        <w:rPr>
          <w:rFonts w:cs="Arial"/>
          <w:sz w:val="28"/>
          <w:szCs w:val="28"/>
        </w:rPr>
      </w:pPr>
      <w:r w:rsidRPr="00B15274">
        <w:rPr>
          <w:rFonts w:cs="Arial"/>
          <w:sz w:val="28"/>
          <w:szCs w:val="28"/>
        </w:rPr>
        <w:t>L’orientation sexuelle et l’identité de genre</w:t>
      </w:r>
    </w:p>
    <w:p w14:paraId="07289F21" w14:textId="20FFFE9F" w:rsidR="002D2203" w:rsidRPr="00B15274" w:rsidRDefault="00B15274" w:rsidP="00B15274">
      <w:pPr>
        <w:pStyle w:val="encadre"/>
        <w:numPr>
          <w:ilvl w:val="0"/>
          <w:numId w:val="24"/>
        </w:numPr>
        <w:ind w:left="714" w:right="284" w:hanging="357"/>
        <w:rPr>
          <w:rFonts w:cs="Arial"/>
          <w:b w:val="0"/>
          <w:bCs/>
          <w:sz w:val="28"/>
          <w:szCs w:val="28"/>
        </w:rPr>
      </w:pPr>
      <w:r w:rsidRPr="00B15274">
        <w:rPr>
          <w:rFonts w:cs="Arial"/>
          <w:b w:val="0"/>
          <w:bCs/>
          <w:sz w:val="28"/>
          <w:szCs w:val="28"/>
        </w:rPr>
        <w:t>Utilisez ces informations pour mieux connaître la population aînée afin de répondre à ses besoins de manière éclairée et sensible</w:t>
      </w:r>
    </w:p>
    <w:p w14:paraId="11D270A3" w14:textId="77777777" w:rsidR="002E3537" w:rsidRDefault="00991982" w:rsidP="00E54490">
      <w:pPr>
        <w:sectPr w:rsidR="002E3537" w:rsidSect="002E3537">
          <w:type w:val="continuous"/>
          <w:pgSz w:w="12240" w:h="15840"/>
          <w:pgMar w:top="1440" w:right="1797" w:bottom="1440" w:left="1797" w:header="709" w:footer="709" w:gutter="0"/>
          <w:cols w:space="708"/>
          <w:docGrid w:linePitch="360"/>
        </w:sectPr>
      </w:pPr>
      <w:r>
        <w:br w:type="page"/>
      </w:r>
    </w:p>
    <w:p w14:paraId="77E7D099" w14:textId="4E60237D" w:rsidR="00362142" w:rsidRPr="006D13D1" w:rsidRDefault="00362142" w:rsidP="00F43EDA">
      <w:pPr>
        <w:pStyle w:val="Titre1"/>
        <w:numPr>
          <w:ilvl w:val="0"/>
          <w:numId w:val="0"/>
        </w:numPr>
      </w:pPr>
      <w:bookmarkStart w:id="3" w:name="_Toc82825159"/>
      <w:r w:rsidRPr="006D13D1">
        <w:lastRenderedPageBreak/>
        <w:t>Introduction</w:t>
      </w:r>
      <w:bookmarkEnd w:id="3"/>
    </w:p>
    <w:p w14:paraId="6B4B4CFC" w14:textId="77777777" w:rsidR="00B15274" w:rsidRPr="00B15274" w:rsidRDefault="00B15274" w:rsidP="00AE1E9D">
      <w:pPr>
        <w:spacing w:before="240" w:after="240"/>
        <w:rPr>
          <w:sz w:val="24"/>
          <w:szCs w:val="24"/>
        </w:rPr>
      </w:pPr>
      <w:r w:rsidRPr="00B15274">
        <w:rPr>
          <w:sz w:val="24"/>
          <w:szCs w:val="24"/>
        </w:rPr>
        <w:t xml:space="preserve">Le </w:t>
      </w:r>
      <w:r w:rsidRPr="00B15274">
        <w:rPr>
          <w:i/>
          <w:iCs/>
          <w:sz w:val="24"/>
          <w:szCs w:val="24"/>
        </w:rPr>
        <w:t>Guide d’accompagnement pour la réalisation de la démarche Municipalité amie des aînés – 2</w:t>
      </w:r>
      <w:r w:rsidRPr="00B15274">
        <w:rPr>
          <w:i/>
          <w:iCs/>
          <w:sz w:val="24"/>
          <w:szCs w:val="24"/>
          <w:vertAlign w:val="superscript"/>
        </w:rPr>
        <w:t>e</w:t>
      </w:r>
      <w:r w:rsidRPr="00B15274">
        <w:rPr>
          <w:i/>
          <w:iCs/>
          <w:sz w:val="24"/>
          <w:szCs w:val="24"/>
        </w:rPr>
        <w:t> édition</w:t>
      </w:r>
      <w:r w:rsidRPr="00B15274">
        <w:rPr>
          <w:sz w:val="24"/>
          <w:szCs w:val="24"/>
        </w:rPr>
        <w:t xml:space="preserve"> (2020) offre une quantité d’informations pertinentes pour réaliser une démarche MADA de manière participative en allant à la rencontre des personnes aînées du territoire ainsi que des intervenants qui s’activent auprès d’eux. </w:t>
      </w:r>
    </w:p>
    <w:p w14:paraId="0B1844EB" w14:textId="77777777" w:rsidR="00B15274" w:rsidRPr="00B15274" w:rsidRDefault="00B15274" w:rsidP="00AE1E9D">
      <w:pPr>
        <w:spacing w:before="240" w:after="240"/>
        <w:rPr>
          <w:sz w:val="24"/>
          <w:szCs w:val="24"/>
        </w:rPr>
      </w:pPr>
      <w:r w:rsidRPr="00B15274">
        <w:rPr>
          <w:sz w:val="24"/>
          <w:szCs w:val="24"/>
        </w:rPr>
        <w:t xml:space="preserve">Des outils basés sur ce guide sont mis à la disposition des personnes et des groupes qui s’intéressent aux besoins des aînés de leur municipalité et de leur municipalité régionale de comté (MRC). </w:t>
      </w:r>
      <w:r w:rsidRPr="00B15274">
        <w:rPr>
          <w:b/>
          <w:bCs/>
          <w:sz w:val="24"/>
          <w:szCs w:val="24"/>
        </w:rPr>
        <w:t>L’hétérogénéité des caractéristiques des aînés</w:t>
      </w:r>
      <w:r w:rsidRPr="00B15274">
        <w:rPr>
          <w:sz w:val="24"/>
          <w:szCs w:val="24"/>
        </w:rPr>
        <w:t xml:space="preserve"> fait certainement partie des défis rencontrés par les organisations qui cherchent à mieux répondre à leurs besoins. </w:t>
      </w:r>
    </w:p>
    <w:p w14:paraId="76E5C1BB" w14:textId="77777777" w:rsidR="00B15274" w:rsidRPr="00B15274" w:rsidRDefault="00B15274" w:rsidP="00AE1E9D">
      <w:pPr>
        <w:spacing w:before="240" w:after="240"/>
        <w:rPr>
          <w:sz w:val="24"/>
          <w:szCs w:val="24"/>
        </w:rPr>
      </w:pPr>
      <w:r w:rsidRPr="00B15274">
        <w:rPr>
          <w:sz w:val="24"/>
          <w:szCs w:val="24"/>
        </w:rPr>
        <w:t xml:space="preserve">Une connaissance plus fine des personnes aînées permet de dégager des constantes dont la prise en compte est susceptible de déboucher sur le développement de mesures beaucoup plus cohérentes au regard des besoins réels. Par exemple, en constatant que les femmes aînées disposent de revenus plus faibles que leurs homologues masculins, on peut porter attention aux droits d’inscription pour les activités qui s’adressent à elles. </w:t>
      </w:r>
    </w:p>
    <w:p w14:paraId="0751B7D1" w14:textId="77777777" w:rsidR="00B15274" w:rsidRPr="00B15274" w:rsidRDefault="00B15274" w:rsidP="00AE1E9D">
      <w:pPr>
        <w:spacing w:before="240" w:after="240"/>
        <w:rPr>
          <w:sz w:val="24"/>
          <w:szCs w:val="24"/>
        </w:rPr>
      </w:pPr>
      <w:r w:rsidRPr="00B15274">
        <w:rPr>
          <w:sz w:val="24"/>
          <w:szCs w:val="24"/>
        </w:rPr>
        <w:t xml:space="preserve">Le présent document est mis à la disposition de toute personne qui s’intéresse à la démarche MADA et qui souhaiterait parfaire sa compréhension du profil social des femmes et des hommes aînés du Québec. </w:t>
      </w:r>
    </w:p>
    <w:p w14:paraId="070B1283" w14:textId="77777777" w:rsidR="00993BFC" w:rsidRDefault="00993BFC" w:rsidP="00E54490"/>
    <w:p w14:paraId="3FD8E469" w14:textId="1B723294" w:rsidR="00993BFC" w:rsidRDefault="00993BFC" w:rsidP="00E54490">
      <w:pPr>
        <w:sectPr w:rsidR="00993BFC" w:rsidSect="002E3537">
          <w:footerReference w:type="default" r:id="rId18"/>
          <w:type w:val="continuous"/>
          <w:pgSz w:w="12240" w:h="15840"/>
          <w:pgMar w:top="1440" w:right="1797" w:bottom="1440" w:left="1797" w:header="709" w:footer="709" w:gutter="0"/>
          <w:pgNumType w:start="1"/>
          <w:cols w:space="708"/>
          <w:docGrid w:linePitch="360"/>
        </w:sectPr>
      </w:pPr>
    </w:p>
    <w:p w14:paraId="2D4B158B" w14:textId="5A89B94A" w:rsidR="00993BFC" w:rsidRPr="00993BFC" w:rsidRDefault="00F76B45" w:rsidP="00553862">
      <w:pPr>
        <w:pStyle w:val="Titre1"/>
        <w:numPr>
          <w:ilvl w:val="0"/>
          <w:numId w:val="0"/>
        </w:numPr>
        <w:spacing w:after="240"/>
      </w:pPr>
      <w:r>
        <w:lastRenderedPageBreak/>
        <w:t>Qu’est-ce qu’une personne aînée?</w:t>
      </w:r>
    </w:p>
    <w:p w14:paraId="7E1B1C20" w14:textId="77777777" w:rsidR="00464307" w:rsidRPr="00464307" w:rsidRDefault="00464307" w:rsidP="00AE1E9D">
      <w:pPr>
        <w:spacing w:before="200" w:after="240" w:line="264" w:lineRule="auto"/>
      </w:pPr>
      <w:r w:rsidRPr="00464307">
        <w:t xml:space="preserve">Il peut être périlleux de définir ce qui représente le mieux une personne aînée étant donné les différentes conceptions possibles du terme. </w:t>
      </w:r>
    </w:p>
    <w:p w14:paraId="7112E0BF" w14:textId="40820F46" w:rsidR="00464307" w:rsidRDefault="00464307" w:rsidP="00AE1E9D">
      <w:pPr>
        <w:spacing w:before="200" w:after="240"/>
      </w:pPr>
      <w:r w:rsidRPr="00464307">
        <w:t>L’âge chronologique est le principal élément pour déterminer l’entrée dans la phase sociale du vieillissement puisque, au Québec et au Canada, une majorité des personnes prennent leur retraite à l’âge de 65 ans et que plusieurs ont accès à des rentes sans pénalité à partir de cet âge</w:t>
      </w:r>
      <w:r w:rsidRPr="00AE1E9D">
        <w:rPr>
          <w:vertAlign w:val="superscript"/>
        </w:rPr>
        <w:footnoteReference w:id="1"/>
      </w:r>
      <w:r w:rsidRPr="00AE1E9D">
        <w:t>.</w:t>
      </w:r>
      <w:r w:rsidRPr="00464307">
        <w:t xml:space="preserve"> La retraite implique une diminution des revenus, ce qui influence plusieurs décisions, entre autres sur le plan du logement, des passe-temps, de l’accomplissement de nouveaux rôles, etc. </w:t>
      </w:r>
    </w:p>
    <w:p w14:paraId="446D7918" w14:textId="77777777" w:rsidR="00464307" w:rsidRPr="00B15274" w:rsidRDefault="00464307" w:rsidP="00AE1E9D">
      <w:pPr>
        <w:pStyle w:val="citation2"/>
        <w:spacing w:before="200" w:after="240"/>
        <w:ind w:left="0" w:right="0" w:firstLine="0"/>
        <w:jc w:val="both"/>
        <w:rPr>
          <w:rStyle w:val="Accentuation"/>
          <w:b/>
          <w:bCs/>
        </w:rPr>
      </w:pPr>
      <w:r w:rsidRPr="00B15274">
        <w:rPr>
          <w:rStyle w:val="Accentuation"/>
          <w:b/>
          <w:bCs/>
        </w:rPr>
        <w:t>Individuellement, rien n’oblige quelqu’un à se définir comme une personne aînée à partir d’un âge donné. Toutefois, dans le cadre d’un programme comme Municipalité amie des aînés, l’âge de 65 ans sert de point d’ancrage pour mesurer et comparer le vieillissement entre les territoires, au Québec, à travers le Canada et dans le monde</w:t>
      </w:r>
      <w:r w:rsidRPr="00B15274">
        <w:rPr>
          <w:rStyle w:val="Accentuation"/>
          <w:b/>
          <w:bCs/>
          <w:vertAlign w:val="superscript"/>
        </w:rPr>
        <w:footnoteReference w:id="2"/>
      </w:r>
      <w:r w:rsidRPr="00B15274">
        <w:rPr>
          <w:rStyle w:val="Accentuation"/>
          <w:b/>
          <w:bCs/>
        </w:rPr>
        <w:t xml:space="preserve">. </w:t>
      </w:r>
    </w:p>
    <w:p w14:paraId="21AFEDB3" w14:textId="0230F8CF" w:rsidR="00464307" w:rsidRPr="00464307" w:rsidRDefault="00464307" w:rsidP="00AE1E9D">
      <w:pPr>
        <w:spacing w:before="200" w:after="240" w:line="264" w:lineRule="auto"/>
      </w:pPr>
      <w:r w:rsidRPr="00464307">
        <w:t>L’âge ne représente qu’une seule des nombreuses caractéristiques qui permettent de définir et de décrire le vieillissement, lequel s’exprime de différentes façons chez les personnes, et même entre les peuples. Aussi mettons-nous ici l’accent sur la manière dont le vieillissement se vit selon le genre, selon les revenus, ou en considérant l’époque de la naissance. Par exemple, la génération des baby-boomers se distingue considérablement de celles qui l’ont précédée.</w:t>
      </w:r>
    </w:p>
    <w:p w14:paraId="6293356F" w14:textId="4475E0D4" w:rsidR="00AE1E9D" w:rsidRPr="00464307" w:rsidRDefault="00464307" w:rsidP="00AE1E9D">
      <w:pPr>
        <w:spacing w:before="200" w:after="240" w:line="264" w:lineRule="auto"/>
      </w:pPr>
      <w:r w:rsidRPr="00464307">
        <w:t>Puisque la durée de cette phase de la vie est de plus en plus longue, au Québec comme ailleurs, de nouveaux enjeux sociaux naissent et gagnent à être mieux connus par les acteurs concernés par l’adaptation des communautés à ces changements.</w:t>
      </w:r>
    </w:p>
    <w:p w14:paraId="5890C1F3" w14:textId="6DC50806" w:rsidR="00464307" w:rsidRPr="00464307" w:rsidRDefault="00464307" w:rsidP="00AE1E9D">
      <w:pPr>
        <w:spacing w:before="200" w:after="240" w:line="264" w:lineRule="auto"/>
      </w:pPr>
      <w:r w:rsidRPr="00464307">
        <w:t>Ce texte vous aidera à mieux interpréter la diversité qui existe chez les personnes aînées de votre territoire en explorant plusieurs caractéristiques sociodémographiques</w:t>
      </w:r>
      <w:r w:rsidR="00AE1E9D">
        <w:t>.</w:t>
      </w:r>
    </w:p>
    <w:p w14:paraId="7A701255" w14:textId="7918723C" w:rsidR="0034450C" w:rsidRPr="0034450C" w:rsidRDefault="0034450C" w:rsidP="00553862">
      <w:pPr>
        <w:pStyle w:val="Titre1"/>
        <w:numPr>
          <w:ilvl w:val="0"/>
          <w:numId w:val="0"/>
        </w:numPr>
        <w:spacing w:after="120"/>
      </w:pPr>
      <w:r w:rsidRPr="0034450C">
        <w:lastRenderedPageBreak/>
        <w:t xml:space="preserve">Caractéristiques des aînés </w:t>
      </w:r>
      <w:r w:rsidR="00553862">
        <w:br/>
      </w:r>
      <w:r w:rsidRPr="0034450C">
        <w:t xml:space="preserve">du Québec </w:t>
      </w:r>
    </w:p>
    <w:p w14:paraId="387C3480" w14:textId="11AC704A" w:rsidR="0034450C" w:rsidRDefault="0034450C" w:rsidP="00B14373">
      <w:pPr>
        <w:spacing w:before="100" w:beforeAutospacing="1" w:after="600"/>
      </w:pPr>
      <w:r w:rsidRPr="0034450C">
        <w:t>Les aînés présentent des caractéristiques sociodémographiques diversifiées : âge, genre, revenu, statut d’immigration, culture, orientation sexuelle, etc. Mais, malgré leur hétérogénéité entre individus, les aînés partagent de nombreux points communs, notamment sur le plan de leurs champs d’intérêt, de leurs habitudes de vie, de leur éducation, de leurs valeurs, de leur structure familiale ou même de leur patrimoine. En comprenant mieux de quelle manière ces caractéristiques s’agencent, il devient possible de contribuer à freiner l’âgisme, l’exclusion et l’isolement social des aînés, par exemple en évitant certains pièges au moment de concevoir des programmes d’activités ou des projets.</w:t>
      </w:r>
    </w:p>
    <w:p w14:paraId="24675499" w14:textId="77777777" w:rsidR="0034450C" w:rsidRPr="0034450C" w:rsidRDefault="0034450C" w:rsidP="00553862">
      <w:pPr>
        <w:pStyle w:val="Titre2"/>
        <w:numPr>
          <w:ilvl w:val="0"/>
          <w:numId w:val="38"/>
        </w:numPr>
        <w:spacing w:before="240"/>
        <w:ind w:left="426"/>
      </w:pPr>
      <w:r w:rsidRPr="0034450C">
        <w:t>L’âge et l’espérance de vie</w:t>
      </w:r>
    </w:p>
    <w:p w14:paraId="2B25335F" w14:textId="5194266F" w:rsidR="0034450C" w:rsidRDefault="003A6676" w:rsidP="003A6676">
      <w:pPr>
        <w:spacing w:before="120" w:after="600"/>
      </w:pPr>
      <w:r>
        <w:rPr>
          <w:noProof/>
        </w:rPr>
        <w:drawing>
          <wp:anchor distT="0" distB="0" distL="114300" distR="114300" simplePos="0" relativeHeight="251677696" behindDoc="0" locked="0" layoutInCell="1" allowOverlap="1" wp14:anchorId="3D848095" wp14:editId="6A3DDB09">
            <wp:simplePos x="0" y="0"/>
            <wp:positionH relativeFrom="margin">
              <wp:posOffset>1487805</wp:posOffset>
            </wp:positionH>
            <wp:positionV relativeFrom="page">
              <wp:posOffset>4764405</wp:posOffset>
            </wp:positionV>
            <wp:extent cx="2514600" cy="2839085"/>
            <wp:effectExtent l="0" t="0" r="0" b="0"/>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514600" cy="2839085"/>
                    </a:xfrm>
                    <a:prstGeom prst="rect">
                      <a:avLst/>
                    </a:prstGeom>
                  </pic:spPr>
                </pic:pic>
              </a:graphicData>
            </a:graphic>
            <wp14:sizeRelH relativeFrom="margin">
              <wp14:pctWidth>0</wp14:pctWidth>
            </wp14:sizeRelH>
            <wp14:sizeRelV relativeFrom="margin">
              <wp14:pctHeight>0</wp14:pctHeight>
            </wp14:sizeRelV>
          </wp:anchor>
        </w:drawing>
      </w:r>
      <w:r w:rsidR="0034450C" w:rsidRPr="0034450C">
        <w:t>Les aînés se distinguent d’abord en fonction de leur âge. De fait, l’augmentation importante de l’espérance de vie permet maintenant de subdiviser ce groupe par tranches d’âge. Le plus souvent, trois groupes sont formés</w:t>
      </w:r>
      <w:r w:rsidR="0034450C" w:rsidRPr="00553862">
        <w:rPr>
          <w:vertAlign w:val="superscript"/>
        </w:rPr>
        <w:footnoteReference w:id="3"/>
      </w:r>
      <w:r w:rsidR="0034450C" w:rsidRPr="0034450C">
        <w:t xml:space="preserve">. </w:t>
      </w:r>
    </w:p>
    <w:p w14:paraId="2817FCF4" w14:textId="620AC0D2" w:rsidR="003A6676" w:rsidRDefault="003A6676" w:rsidP="00553862">
      <w:pPr>
        <w:spacing w:before="120" w:after="600"/>
      </w:pPr>
      <w:r>
        <w:rPr>
          <w:noProof/>
        </w:rPr>
        <mc:AlternateContent>
          <mc:Choice Requires="wps">
            <w:drawing>
              <wp:anchor distT="0" distB="0" distL="114300" distR="114300" simplePos="0" relativeHeight="251678720" behindDoc="0" locked="0" layoutInCell="1" allowOverlap="1" wp14:anchorId="34DB491C" wp14:editId="4B155F9D">
                <wp:simplePos x="0" y="0"/>
                <wp:positionH relativeFrom="column">
                  <wp:posOffset>163830</wp:posOffset>
                </wp:positionH>
                <wp:positionV relativeFrom="paragraph">
                  <wp:posOffset>2762250</wp:posOffset>
                </wp:positionV>
                <wp:extent cx="5819775" cy="476250"/>
                <wp:effectExtent l="0" t="0" r="28575" b="19050"/>
                <wp:wrapNone/>
                <wp:docPr id="22" name="Zone de texte 22"/>
                <wp:cNvGraphicFramePr/>
                <a:graphic xmlns:a="http://schemas.openxmlformats.org/drawingml/2006/main">
                  <a:graphicData uri="http://schemas.microsoft.com/office/word/2010/wordprocessingShape">
                    <wps:wsp>
                      <wps:cNvSpPr txBox="1"/>
                      <wps:spPr>
                        <a:xfrm>
                          <a:off x="0" y="0"/>
                          <a:ext cx="5819775" cy="476250"/>
                        </a:xfrm>
                        <a:prstGeom prst="rect">
                          <a:avLst/>
                        </a:prstGeom>
                        <a:solidFill>
                          <a:schemeClr val="lt1"/>
                        </a:solidFill>
                        <a:ln w="6350">
                          <a:solidFill>
                            <a:prstClr val="black"/>
                          </a:solidFill>
                        </a:ln>
                      </wps:spPr>
                      <wps:txbx>
                        <w:txbxContent>
                          <w:p w14:paraId="3F634DC3" w14:textId="0B640061" w:rsidR="003A6676" w:rsidRDefault="003A6676" w:rsidP="003A6676">
                            <w:r>
                              <w:rPr>
                                <w:sz w:val="18"/>
                                <w:szCs w:val="18"/>
                              </w:rPr>
                              <w:t>Sources : Statistique Canada, Estimations démographiques (données observées), 2019. Gouvernement du Québec, Institut de la statistique du Québec (données projetées), 2019. Compilation : Institut de la statistique du Québec. Cela ne constitue pas une approbation de ce produit par Statistique Canada.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4DB491C" id="_x0000_t202" coordsize="21600,21600" o:spt="202" path="m,l,21600r21600,l21600,xe">
                <v:stroke joinstyle="miter"/>
                <v:path gradientshapeok="t" o:connecttype="rect"/>
              </v:shapetype>
              <v:shape id="Zone de texte 22" o:spid="_x0000_s1026" type="#_x0000_t202" style="position:absolute;left:0;text-align:left;margin-left:12.9pt;margin-top:217.5pt;width:458.25pt;height:3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" fillcolor="white [3201]" strokeweight=".5pt">
                <v:textbox>
                  <w:txbxContent>
                    <w:p w14:paraId="3F634DC3" w14:textId="0B640061" w:rsidR="003A6676" w:rsidRDefault="003A6676" w:rsidP="003A6676">
                      <w:r>
                        <w:rPr>
                          <w:sz w:val="18"/>
                          <w:szCs w:val="18"/>
                        </w:rPr>
                        <w:t>Sources : Statistique Canada, Estimations démographiques (données observées), 2019. Gouvernement du Québec, Institut de la statistique du Québec (données projetées), 2019. Compilation : Institut de la statistique du Québec. Cela ne constitue pas une approbation de ce produit par Statistique Canada.</w:t>
                      </w:r>
                    </w:p>
                  </w:txbxContent>
                </v:textbox>
              </v:shape>
            </w:pict>
          </mc:Fallback>
        </mc:AlternateContent>
      </w:r>
    </w:p>
    <w:p w14:paraId="3340A9B4" w14:textId="1F20C9AD" w:rsidR="0034450C" w:rsidRDefault="0034450C" w:rsidP="003A6676">
      <w:pPr>
        <w:spacing w:after="160" w:line="259" w:lineRule="auto"/>
        <w:jc w:val="center"/>
      </w:pPr>
      <w:r>
        <w:br w:type="page"/>
      </w:r>
    </w:p>
    <w:p w14:paraId="6B7E909E" w14:textId="77777777" w:rsidR="0034450C" w:rsidRDefault="0034450C" w:rsidP="0034450C">
      <w:pPr>
        <w:spacing w:after="240"/>
      </w:pPr>
      <w:r w:rsidRPr="0034450C">
        <w:lastRenderedPageBreak/>
        <w:t>Les démographes étant davantage à l’affût de l’évolution des âges avancés, ils ont parfois besoin de démontrer de quelle manière se comporteront les différents groupes dans le temps. Le graphique précédent illustre une projection de la part des 85 ans et plus par rapport aux autres tranches d’âge chez les aînés, cette information permettant de prévoir les besoins futurs en matière de programmes, de services et de produits.</w:t>
      </w:r>
    </w:p>
    <w:p w14:paraId="4EF1486C" w14:textId="786DE906" w:rsidR="0034450C" w:rsidRPr="0034450C" w:rsidRDefault="0034450C" w:rsidP="0034450C">
      <w:pPr>
        <w:spacing w:after="240" w:line="264" w:lineRule="auto"/>
      </w:pPr>
      <w:r w:rsidRPr="0034450C">
        <w:t xml:space="preserve">Habituellement, les tranches d’âge sont divisées </w:t>
      </w:r>
      <w:r w:rsidR="006B6B11" w:rsidRPr="0034450C">
        <w:t>de façon</w:t>
      </w:r>
      <w:r w:rsidRPr="0034450C">
        <w:t xml:space="preserve"> qu’elles comprennent des écarts semblables de dix ans : 65 à 74 ans, 75 à 84 ans et 85 ans et plus. Elles sont ainsi plus aisément comparables. Puisque l’espérance de vie se situe à 80,7 ans chez les hommes et à 84,2 ans chez les femmes</w:t>
      </w:r>
      <w:r w:rsidRPr="00553862">
        <w:rPr>
          <w:vertAlign w:val="superscript"/>
        </w:rPr>
        <w:footnoteReference w:id="4"/>
      </w:r>
      <w:r w:rsidRPr="0034450C">
        <w:t>, les personnes de 85 ans et plus sont parfois désignées comme faisant partie du « grand âge ».</w:t>
      </w:r>
    </w:p>
    <w:p w14:paraId="19743306" w14:textId="77777777" w:rsidR="0034450C" w:rsidRPr="0034450C" w:rsidRDefault="0034450C" w:rsidP="0034450C">
      <w:pPr>
        <w:spacing w:after="240"/>
      </w:pPr>
      <w:r w:rsidRPr="0034450C">
        <w:t>À chaque groupe d’âge correspondent des capacités et des champs d’intérêt qui s’ajustent mutuellement. Les aînés développent d’ailleurs des stratégies pour adapter leurs activités, tout comme les services qui les desservent</w:t>
      </w:r>
      <w:r w:rsidRPr="0034450C">
        <w:rPr>
          <w:vertAlign w:val="superscript"/>
        </w:rPr>
        <w:footnoteReference w:id="5"/>
      </w:r>
      <w:r w:rsidRPr="0034450C">
        <w:t>.</w:t>
      </w:r>
    </w:p>
    <w:p w14:paraId="499DDCF3" w14:textId="77777777" w:rsidR="0034450C" w:rsidRPr="0034450C" w:rsidRDefault="0034450C" w:rsidP="0034450C">
      <w:pPr>
        <w:pStyle w:val="citation2"/>
        <w:spacing w:before="360" w:after="360"/>
        <w:ind w:left="567" w:right="425" w:firstLine="0"/>
        <w:rPr>
          <w:rStyle w:val="Accentuation"/>
          <w:b/>
          <w:bCs/>
        </w:rPr>
      </w:pPr>
      <w:r w:rsidRPr="0034450C">
        <w:rPr>
          <w:rStyle w:val="Accentuation"/>
          <w:b/>
          <w:bCs/>
          <w:iCs w:val="0"/>
        </w:rPr>
        <w:t>« </w:t>
      </w:r>
      <w:r w:rsidRPr="007B7892">
        <w:rPr>
          <w:rStyle w:val="Accentuation"/>
          <w:b/>
          <w:bCs/>
          <w:i/>
        </w:rPr>
        <w:t>Grâce à ces aménagements qui soutiennent une vie hors du domicile, les aînés se sentent partie prenante de la société et, inversement, la société face à leur présence dans l’espace public prend conscience de leur existence</w:t>
      </w:r>
      <w:r w:rsidRPr="008F5EC5">
        <w:rPr>
          <w:rStyle w:val="Accentuation"/>
          <w:b/>
          <w:bCs/>
          <w:vertAlign w:val="superscript"/>
        </w:rPr>
        <w:footnoteReference w:id="6"/>
      </w:r>
      <w:r w:rsidRPr="0034450C">
        <w:rPr>
          <w:rStyle w:val="Accentuation"/>
          <w:b/>
          <w:bCs/>
          <w:iCs w:val="0"/>
        </w:rPr>
        <w:t>. »</w:t>
      </w:r>
    </w:p>
    <w:p w14:paraId="15B05FE3" w14:textId="4C541531" w:rsidR="008F5EC5" w:rsidRPr="008F5EC5" w:rsidRDefault="008F5EC5" w:rsidP="008F5EC5">
      <w:pPr>
        <w:pStyle w:val="Titre2"/>
        <w:numPr>
          <w:ilvl w:val="0"/>
          <w:numId w:val="38"/>
        </w:numPr>
        <w:spacing w:before="480"/>
        <w:ind w:left="426"/>
      </w:pPr>
      <w:r w:rsidRPr="008F5EC5">
        <w:t>L’accès aux activités selon l’âge</w:t>
      </w:r>
    </w:p>
    <w:p w14:paraId="2A5B4A74" w14:textId="77777777" w:rsidR="008F5EC5" w:rsidRPr="008F5EC5" w:rsidRDefault="008F5EC5" w:rsidP="00283AFB">
      <w:pPr>
        <w:spacing w:before="240" w:after="0" w:line="264" w:lineRule="auto"/>
      </w:pPr>
      <w:r w:rsidRPr="008F5EC5">
        <w:t>Les jeunes aînés font souvent partie de regroupements de loisirs, et plusieurs s’intéressent aux voyages. À partir de 75 ans, une proportion plus importante vit avec des incapacités légères à modérées, ce qui peut influencer différemment leurs occupations et leur mobilité. À un âge plus avancé, les déplacements sont moins nombreux et s’effectuent sur de plus courtes distances</w:t>
      </w:r>
      <w:r w:rsidRPr="008F5EC5">
        <w:rPr>
          <w:vertAlign w:val="superscript"/>
        </w:rPr>
        <w:footnoteReference w:id="7"/>
      </w:r>
      <w:r w:rsidRPr="008F5EC5">
        <w:t>. À cette étape de leur vie, bon nombre d’entre eux ont besoin de l’aide de proches ou de services à domicile lorsqu’ils sont touchés par des ennuis de santé</w:t>
      </w:r>
      <w:r w:rsidRPr="00553862">
        <w:rPr>
          <w:vertAlign w:val="superscript"/>
        </w:rPr>
        <w:footnoteReference w:id="8"/>
      </w:r>
      <w:r w:rsidRPr="008F5EC5">
        <w:t>. Ces conditions nuisent à leur engagement dans les activités parmi lesquelles figure le bénévolat</w:t>
      </w:r>
      <w:r w:rsidRPr="008F5EC5">
        <w:rPr>
          <w:vertAlign w:val="superscript"/>
        </w:rPr>
        <w:footnoteReference w:id="9"/>
      </w:r>
      <w:r w:rsidRPr="008F5EC5">
        <w:t xml:space="preserve">. </w:t>
      </w:r>
    </w:p>
    <w:p w14:paraId="0B440675" w14:textId="77777777" w:rsidR="008F5EC5" w:rsidRPr="008F5EC5" w:rsidRDefault="008F5EC5" w:rsidP="00BE1656">
      <w:pPr>
        <w:spacing w:after="240" w:line="264" w:lineRule="auto"/>
      </w:pPr>
      <w:r w:rsidRPr="008F5EC5">
        <w:lastRenderedPageBreak/>
        <w:t>On verra également d’autres différences entre les tranches d’âge des aînés, par exemple l’aisance dans l’utilisation des technologies. En effet, les jeunes aînés ont souvent davantage d’assurance pour utiliser les différents outils numériques (téléphone intelligent, ordinateur, tablette, etc.), bien que, chaque année, on puisse noter une augmentation des utilisateurs aînés.</w:t>
      </w:r>
    </w:p>
    <w:p w14:paraId="0ED58660" w14:textId="503CC305" w:rsidR="00F03D72" w:rsidRDefault="00165DFB" w:rsidP="00F03D72">
      <w:pPr>
        <w:spacing w:after="240" w:line="264" w:lineRule="auto"/>
        <w:rPr>
          <w:rFonts w:ascii="Raleway" w:eastAsiaTheme="majorEastAsia" w:hAnsi="Raleway" w:cstheme="majorBidi"/>
          <w:b/>
          <w:color w:val="2F5496" w:themeColor="accent1" w:themeShade="BF"/>
          <w:sz w:val="32"/>
          <w:szCs w:val="26"/>
        </w:rPr>
      </w:pPr>
      <w:r w:rsidRPr="00DB1CFA">
        <w:rPr>
          <w:noProof/>
        </w:rPr>
        <mc:AlternateContent>
          <mc:Choice Requires="wps">
            <w:drawing>
              <wp:anchor distT="0" distB="0" distL="114300" distR="114300" simplePos="0" relativeHeight="251668480" behindDoc="0" locked="0" layoutInCell="1" allowOverlap="1" wp14:anchorId="7290111F" wp14:editId="73FC12DB">
                <wp:simplePos x="0" y="0"/>
                <wp:positionH relativeFrom="margin">
                  <wp:posOffset>21590</wp:posOffset>
                </wp:positionH>
                <wp:positionV relativeFrom="paragraph">
                  <wp:posOffset>1261110</wp:posOffset>
                </wp:positionV>
                <wp:extent cx="5464175" cy="3049905"/>
                <wp:effectExtent l="0" t="0" r="3175" b="0"/>
                <wp:wrapTopAndBottom/>
                <wp:docPr id="24" name="Zone de texte 24"/>
                <wp:cNvGraphicFramePr/>
                <a:graphic xmlns:a="http://schemas.openxmlformats.org/drawingml/2006/main">
                  <a:graphicData uri="http://schemas.microsoft.com/office/word/2010/wordprocessingShape">
                    <wps:wsp>
                      <wps:cNvSpPr txBox="1"/>
                      <wps:spPr>
                        <a:xfrm>
                          <a:off x="0" y="0"/>
                          <a:ext cx="5464175" cy="3049905"/>
                        </a:xfrm>
                        <a:prstGeom prst="rect">
                          <a:avLst/>
                        </a:prstGeom>
                        <a:solidFill>
                          <a:srgbClr val="25ACC1"/>
                        </a:solidFill>
                        <a:ln w="22225">
                          <a:noFill/>
                        </a:ln>
                        <a:effectLst/>
                      </wps:spPr>
                      <wps:style>
                        <a:lnRef idx="0">
                          <a:schemeClr val="accent1"/>
                        </a:lnRef>
                        <a:fillRef idx="0">
                          <a:schemeClr val="accent1"/>
                        </a:fillRef>
                        <a:effectRef idx="0">
                          <a:schemeClr val="accent1"/>
                        </a:effectRef>
                        <a:fontRef idx="minor">
                          <a:schemeClr val="dk1"/>
                        </a:fontRef>
                      </wps:style>
                      <wps:txbx>
                        <w:txbxContent>
                          <w:p w14:paraId="3A3CB6CD" w14:textId="2630E660" w:rsidR="008620F8" w:rsidRPr="00DB1CFA" w:rsidRDefault="00DB1CFA" w:rsidP="00DB1CFA">
                            <w:pPr>
                              <w:pStyle w:val="encadre"/>
                              <w:ind w:left="357" w:right="284"/>
                              <w:jc w:val="left"/>
                              <w:rPr>
                                <w:rFonts w:cs="Arial"/>
                                <w:sz w:val="28"/>
                                <w:szCs w:val="28"/>
                              </w:rPr>
                            </w:pPr>
                            <w:r w:rsidRPr="00DB1CFA">
                              <w:rPr>
                                <w:rFonts w:cs="Arial"/>
                                <w:sz w:val="28"/>
                                <w:szCs w:val="28"/>
                              </w:rPr>
                              <w:t>QUELLE EST L’INFLUENCE DES TRANCHES D’ÂGE DANS UNE DÉMARCHE MADA?</w:t>
                            </w:r>
                          </w:p>
                          <w:p w14:paraId="463DA78C" w14:textId="77777777" w:rsidR="008620F8" w:rsidRPr="00165DFB" w:rsidRDefault="008620F8" w:rsidP="00DB1CFA">
                            <w:pPr>
                              <w:pStyle w:val="encadre"/>
                              <w:ind w:left="357" w:right="284"/>
                              <w:rPr>
                                <w:rFonts w:cs="Arial"/>
                                <w:b w:val="0"/>
                                <w:bCs/>
                                <w:sz w:val="24"/>
                                <w:szCs w:val="24"/>
                              </w:rPr>
                            </w:pPr>
                            <w:r w:rsidRPr="00165DFB">
                              <w:rPr>
                                <w:rFonts w:cs="Arial"/>
                                <w:sz w:val="24"/>
                                <w:szCs w:val="24"/>
                              </w:rPr>
                              <w:t>Les consultations</w:t>
                            </w:r>
                            <w:r w:rsidRPr="00165DFB">
                              <w:rPr>
                                <w:rFonts w:cs="Arial"/>
                                <w:b w:val="0"/>
                                <w:bCs/>
                                <w:sz w:val="24"/>
                                <w:szCs w:val="24"/>
                              </w:rPr>
                              <w:t xml:space="preserve"> sont organisées de manière à être accessibles à tous les aînés. Il faut prévoir des lieux adaptés, physiquement accessibles, un local sans écho et fonctionnel, s’assurer de la proximité des toilettes et des possibilités de transport, en particulier pour les personnes qui vivent avec des problèmes de mobilité.</w:t>
                            </w:r>
                          </w:p>
                          <w:p w14:paraId="46516DDE" w14:textId="77777777" w:rsidR="008620F8" w:rsidRPr="00165DFB" w:rsidRDefault="008620F8" w:rsidP="00DB1CFA">
                            <w:pPr>
                              <w:pStyle w:val="encadre"/>
                              <w:ind w:left="357" w:right="284"/>
                              <w:rPr>
                                <w:rFonts w:cs="Arial"/>
                                <w:b w:val="0"/>
                                <w:bCs/>
                                <w:sz w:val="24"/>
                                <w:szCs w:val="24"/>
                              </w:rPr>
                            </w:pPr>
                            <w:r w:rsidRPr="00165DFB">
                              <w:rPr>
                                <w:rFonts w:cs="Arial"/>
                                <w:b w:val="0"/>
                                <w:bCs/>
                                <w:sz w:val="24"/>
                                <w:szCs w:val="24"/>
                              </w:rPr>
                              <w:t xml:space="preserve">Pour connaître les besoins des personnes du grand âge (85 ans et plus), les contacts personnels (par téléphone ou en personne) sont à privilégier par rapport aux sondages. </w:t>
                            </w:r>
                          </w:p>
                          <w:p w14:paraId="3CF0A67B" w14:textId="4D82268C" w:rsidR="008620F8" w:rsidRPr="00165DFB" w:rsidRDefault="008620F8" w:rsidP="00DB1CFA">
                            <w:pPr>
                              <w:pStyle w:val="encadre"/>
                              <w:ind w:left="357" w:right="284"/>
                              <w:rPr>
                                <w:rFonts w:cs="Arial"/>
                                <w:b w:val="0"/>
                                <w:bCs/>
                                <w:sz w:val="24"/>
                                <w:szCs w:val="24"/>
                              </w:rPr>
                            </w:pPr>
                            <w:r w:rsidRPr="00165DFB">
                              <w:rPr>
                                <w:rFonts w:cs="Arial"/>
                                <w:sz w:val="24"/>
                                <w:szCs w:val="24"/>
                              </w:rPr>
                              <w:t>Un plan d’action inclusif</w:t>
                            </w:r>
                            <w:r w:rsidRPr="00165DFB">
                              <w:rPr>
                                <w:rFonts w:cs="Arial"/>
                                <w:b w:val="0"/>
                                <w:bCs/>
                                <w:sz w:val="24"/>
                                <w:szCs w:val="24"/>
                              </w:rPr>
                              <w:t xml:space="preserve"> gagne à être planifié, de sorte que les activités et projets atteignent les différents groupes d’âge et qu’ils so</w:t>
                            </w:r>
                            <w:r w:rsidR="00E679CB">
                              <w:rPr>
                                <w:rFonts w:cs="Arial"/>
                                <w:b w:val="0"/>
                                <w:bCs/>
                                <w:sz w:val="24"/>
                                <w:szCs w:val="24"/>
                              </w:rPr>
                              <w:t>ie</w:t>
                            </w:r>
                            <w:r w:rsidRPr="00165DFB">
                              <w:rPr>
                                <w:rFonts w:cs="Arial"/>
                                <w:b w:val="0"/>
                                <w:bCs/>
                                <w:sz w:val="24"/>
                                <w:szCs w:val="24"/>
                              </w:rPr>
                              <w:t>nt équilibrés en fonction des capacités et des champs d’intérêt diversifiés, d’où l’importance de bien connaître les besoins et préférences des aînés.</w:t>
                            </w:r>
                          </w:p>
                          <w:p w14:paraId="3AC4E54E" w14:textId="07754DF7" w:rsidR="008620F8" w:rsidRPr="00F01CFE" w:rsidRDefault="008620F8" w:rsidP="008620F8">
                            <w:pPr>
                              <w:pStyle w:val="encadre"/>
                              <w:ind w:left="357" w:right="284"/>
                              <w:rPr>
                                <w:rFonts w:cs="Arial"/>
                                <w:b w:val="0"/>
                                <w:bCs/>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0111F" id="Zone de texte 24" o:spid="_x0000_s1027" type="#_x0000_t202" style="position:absolute;left:0;text-align:left;margin-left:1.7pt;margin-top:99.3pt;width:430.25pt;height:240.1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" fillcolor="#25acc1" stroked="f" strokeweight="1.75pt">
                <v:textbox>
                  <w:txbxContent>
                    <w:p w14:paraId="3A3CB6CD" w14:textId="2630E660" w:rsidR="008620F8" w:rsidRPr="00DB1CFA" w:rsidRDefault="00DB1CFA" w:rsidP="00DB1CFA">
                      <w:pPr>
                        <w:pStyle w:val="encadre"/>
                        <w:ind w:left="357" w:right="284"/>
                        <w:jc w:val="left"/>
                        <w:rPr>
                          <w:rFonts w:cs="Arial"/>
                          <w:sz w:val="28"/>
                          <w:szCs w:val="28"/>
                        </w:rPr>
                      </w:pPr>
                      <w:r w:rsidRPr="00DB1CFA">
                        <w:rPr>
                          <w:rFonts w:cs="Arial"/>
                          <w:sz w:val="28"/>
                          <w:szCs w:val="28"/>
                        </w:rPr>
                        <w:t>QUELLE EST L’INFLUENCE DES TRANCHES D’ÂGE DANS UNE DÉMARCHE MADA?</w:t>
                      </w:r>
                    </w:p>
                    <w:p w14:paraId="463DA78C" w14:textId="77777777" w:rsidR="008620F8" w:rsidRPr="00165DFB" w:rsidRDefault="008620F8" w:rsidP="00DB1CFA">
                      <w:pPr>
                        <w:pStyle w:val="encadre"/>
                        <w:ind w:left="357" w:right="284"/>
                        <w:rPr>
                          <w:rFonts w:cs="Arial"/>
                          <w:b w:val="0"/>
                          <w:bCs/>
                          <w:sz w:val="24"/>
                          <w:szCs w:val="24"/>
                        </w:rPr>
                      </w:pPr>
                      <w:r w:rsidRPr="00165DFB">
                        <w:rPr>
                          <w:rFonts w:cs="Arial"/>
                          <w:sz w:val="24"/>
                          <w:szCs w:val="24"/>
                        </w:rPr>
                        <w:t>Les consultations</w:t>
                      </w:r>
                      <w:r w:rsidRPr="00165DFB">
                        <w:rPr>
                          <w:rFonts w:cs="Arial"/>
                          <w:b w:val="0"/>
                          <w:bCs/>
                          <w:sz w:val="24"/>
                          <w:szCs w:val="24"/>
                        </w:rPr>
                        <w:t xml:space="preserve"> sont organisées de manière à être accessibles à tous les aînés. Il faut prévoir des lieux adaptés, physiquement accessibles, un local sans écho et fonctionnel, s’assurer de la proximité des toilettes et des possibilités de transport, en particulier pour les personnes qui vivent avec des problèmes de mobilité.</w:t>
                      </w:r>
                    </w:p>
                    <w:p w14:paraId="46516DDE" w14:textId="77777777" w:rsidR="008620F8" w:rsidRPr="00165DFB" w:rsidRDefault="008620F8" w:rsidP="00DB1CFA">
                      <w:pPr>
                        <w:pStyle w:val="encadre"/>
                        <w:ind w:left="357" w:right="284"/>
                        <w:rPr>
                          <w:rFonts w:cs="Arial"/>
                          <w:b w:val="0"/>
                          <w:bCs/>
                          <w:sz w:val="24"/>
                          <w:szCs w:val="24"/>
                        </w:rPr>
                      </w:pPr>
                      <w:r w:rsidRPr="00165DFB">
                        <w:rPr>
                          <w:rFonts w:cs="Arial"/>
                          <w:b w:val="0"/>
                          <w:bCs/>
                          <w:sz w:val="24"/>
                          <w:szCs w:val="24"/>
                        </w:rPr>
                        <w:t xml:space="preserve">Pour connaître les besoins des personnes du grand âge (85 ans et plus), les contacts personnels (par téléphone ou en personne) sont à privilégier par rapport aux sondages. </w:t>
                      </w:r>
                    </w:p>
                    <w:p w14:paraId="3CF0A67B" w14:textId="4D82268C" w:rsidR="008620F8" w:rsidRPr="00165DFB" w:rsidRDefault="008620F8" w:rsidP="00DB1CFA">
                      <w:pPr>
                        <w:pStyle w:val="encadre"/>
                        <w:ind w:left="357" w:right="284"/>
                        <w:rPr>
                          <w:rFonts w:cs="Arial"/>
                          <w:b w:val="0"/>
                          <w:bCs/>
                          <w:sz w:val="24"/>
                          <w:szCs w:val="24"/>
                        </w:rPr>
                      </w:pPr>
                      <w:r w:rsidRPr="00165DFB">
                        <w:rPr>
                          <w:rFonts w:cs="Arial"/>
                          <w:sz w:val="24"/>
                          <w:szCs w:val="24"/>
                        </w:rPr>
                        <w:t>Un plan d’action inclusif</w:t>
                      </w:r>
                      <w:r w:rsidRPr="00165DFB">
                        <w:rPr>
                          <w:rFonts w:cs="Arial"/>
                          <w:b w:val="0"/>
                          <w:bCs/>
                          <w:sz w:val="24"/>
                          <w:szCs w:val="24"/>
                        </w:rPr>
                        <w:t xml:space="preserve"> gagne à être planifié, de sorte que les activités et projets atteignent les différents groupes d’âge et qu’ils so</w:t>
                      </w:r>
                      <w:r w:rsidR="00E679CB">
                        <w:rPr>
                          <w:rFonts w:cs="Arial"/>
                          <w:b w:val="0"/>
                          <w:bCs/>
                          <w:sz w:val="24"/>
                          <w:szCs w:val="24"/>
                        </w:rPr>
                        <w:t>ie</w:t>
                      </w:r>
                      <w:r w:rsidRPr="00165DFB">
                        <w:rPr>
                          <w:rFonts w:cs="Arial"/>
                          <w:b w:val="0"/>
                          <w:bCs/>
                          <w:sz w:val="24"/>
                          <w:szCs w:val="24"/>
                        </w:rPr>
                        <w:t>nt équilibrés en fonction des capacités et des champs d’intérêt diversifiés, d’où l’importance de bien connaître les besoins et préférences des aînés.</w:t>
                      </w:r>
                    </w:p>
                    <w:p w14:paraId="3AC4E54E" w14:textId="07754DF7" w:rsidR="008620F8" w:rsidRPr="00F01CFE" w:rsidRDefault="008620F8" w:rsidP="008620F8">
                      <w:pPr>
                        <w:pStyle w:val="encadre"/>
                        <w:ind w:left="357" w:right="284"/>
                        <w:rPr>
                          <w:rFonts w:cs="Arial"/>
                          <w:b w:val="0"/>
                          <w:bCs/>
                          <w:sz w:val="26"/>
                          <w:szCs w:val="26"/>
                        </w:rPr>
                      </w:pPr>
                    </w:p>
                  </w:txbxContent>
                </v:textbox>
                <w10:wrap type="topAndBottom" anchorx="margin"/>
              </v:shape>
            </w:pict>
          </mc:Fallback>
        </mc:AlternateContent>
      </w:r>
      <w:r w:rsidR="008F5EC5" w:rsidRPr="008F5EC5">
        <w:t>Selon les données de 2020, 50 % des aînés possèdent un téléphone intelligent, soit une hausse de 13 % depuis 2018</w:t>
      </w:r>
      <w:r w:rsidR="008F5EC5" w:rsidRPr="00E679CB">
        <w:rPr>
          <w:vertAlign w:val="superscript"/>
        </w:rPr>
        <w:footnoteReference w:id="10"/>
      </w:r>
      <w:r w:rsidR="008F5EC5" w:rsidRPr="00E679CB">
        <w:t>.</w:t>
      </w:r>
      <w:r w:rsidR="008F5EC5" w:rsidRPr="008F5EC5">
        <w:t xml:space="preserve"> En 2019, chez les gens âgés de 65 à 74 ans, 52 % utilisent un téléphone intelligent par rapport à 35 % des 75 ans et plus. Toutefois, l’augmentation annuelle des utilisateurs est importante dans les deux groupes d’âge. En 2020, 74 % des aînés disposaient d’un ordinateur à la maison</w:t>
      </w:r>
      <w:r w:rsidR="008F5EC5" w:rsidRPr="008620F8">
        <w:rPr>
          <w:vertAlign w:val="superscript"/>
        </w:rPr>
        <w:footnoteReference w:id="11"/>
      </w:r>
      <w:r w:rsidR="008F5EC5" w:rsidRPr="008F5EC5">
        <w:t>. Ces données permettent de présumer que le rétrécissement des écarts est bel et bien engagé.</w:t>
      </w:r>
      <w:r w:rsidR="00F03D72">
        <w:rPr>
          <w:rFonts w:ascii="Raleway" w:eastAsiaTheme="majorEastAsia" w:hAnsi="Raleway" w:cstheme="majorBidi"/>
          <w:b/>
          <w:color w:val="2F5496" w:themeColor="accent1" w:themeShade="BF"/>
          <w:sz w:val="32"/>
          <w:szCs w:val="26"/>
        </w:rPr>
        <w:t xml:space="preserve"> </w:t>
      </w:r>
    </w:p>
    <w:p w14:paraId="77E370BE" w14:textId="5F36B14D" w:rsidR="008620F8" w:rsidRPr="0091700F" w:rsidRDefault="008620F8" w:rsidP="00B14373">
      <w:pPr>
        <w:pStyle w:val="Titre2"/>
        <w:numPr>
          <w:ilvl w:val="0"/>
          <w:numId w:val="0"/>
        </w:numPr>
        <w:spacing w:before="1200"/>
        <w:rPr>
          <w:rFonts w:ascii="Times New Roman" w:hAnsi="Times New Roman" w:cs="Times New Roman"/>
          <w:b w:val="0"/>
          <w:sz w:val="26"/>
        </w:rPr>
      </w:pPr>
      <w:r w:rsidRPr="00DB1CFA">
        <w:t>3. Le genre et la diversité des champs d’intérêt</w:t>
      </w:r>
    </w:p>
    <w:p w14:paraId="6B6913A5" w14:textId="7EE8D30B" w:rsidR="008620F8" w:rsidRPr="00DB1CFA" w:rsidRDefault="008620F8" w:rsidP="00DB1CFA">
      <w:pPr>
        <w:spacing w:before="240" w:after="0" w:line="264" w:lineRule="auto"/>
      </w:pPr>
      <w:r w:rsidRPr="00DB1CFA">
        <w:t xml:space="preserve">Les aînés se caractérisent par une différence démographique considérable sur le plan du genre. Il y a en effet un plus grand nombre de femmes que d’hommes aînés. C’est à partir de 65 ans que l’écart commence à se creuser entre le nombre de femmes et d’hommes. On note aussi que les femmes aînées ont une plus grande espérance de vie et représentent la plus grande proportion des centenaires. Toutefois, l’écart actuel entre les </w:t>
      </w:r>
      <w:r w:rsidRPr="00DB1CFA">
        <w:lastRenderedPageBreak/>
        <w:t>femmes et les hommes va s’amoindrir dans les prochaines décennies puisque le rapport de masculinité des 85 ans et plus passera de 50 hommes pour 100 femmes en 2016, à 86 hommes en 2066</w:t>
      </w:r>
      <w:r w:rsidR="00C078A8">
        <w:t>, comme le démontre la pyramide des âges qui suit</w:t>
      </w:r>
      <w:r w:rsidRPr="00DB1CFA">
        <w:rPr>
          <w:vertAlign w:val="superscript"/>
        </w:rPr>
        <w:footnoteReference w:id="12"/>
      </w:r>
      <w:r w:rsidRPr="00DB1CFA">
        <w:t>.</w:t>
      </w:r>
    </w:p>
    <w:p w14:paraId="39238D10" w14:textId="20B18D77" w:rsidR="008620F8" w:rsidRDefault="008620F8" w:rsidP="008620F8">
      <w:pPr>
        <w:pStyle w:val="Sansinterligne"/>
      </w:pPr>
    </w:p>
    <w:p w14:paraId="23E77CD9" w14:textId="568CDC9B" w:rsidR="008620F8" w:rsidRDefault="00E679CB" w:rsidP="008620F8">
      <w:pPr>
        <w:spacing w:line="360" w:lineRule="auto"/>
        <w:rPr>
          <w:rFonts w:ascii="Times New Roman" w:hAnsi="Times New Roman" w:cs="Times New Roman"/>
        </w:rPr>
      </w:pPr>
      <w:r>
        <w:rPr>
          <w:rFonts w:cs="Arial"/>
          <w:noProof/>
          <w:lang w:eastAsia="fr-CA"/>
        </w:rPr>
        <mc:AlternateContent>
          <mc:Choice Requires="wps">
            <w:drawing>
              <wp:anchor distT="0" distB="0" distL="114300" distR="114300" simplePos="0" relativeHeight="251670528" behindDoc="0" locked="0" layoutInCell="1" allowOverlap="1" wp14:anchorId="5E4B9A38" wp14:editId="74F7FFFF">
                <wp:simplePos x="0" y="0"/>
                <wp:positionH relativeFrom="margin">
                  <wp:align>left</wp:align>
                </wp:positionH>
                <wp:positionV relativeFrom="paragraph">
                  <wp:posOffset>56515</wp:posOffset>
                </wp:positionV>
                <wp:extent cx="5493715" cy="2023303"/>
                <wp:effectExtent l="0" t="0" r="0" b="0"/>
                <wp:wrapNone/>
                <wp:docPr id="28" name="Rectangle à coins arrondis 7"/>
                <wp:cNvGraphicFramePr/>
                <a:graphic xmlns:a="http://schemas.openxmlformats.org/drawingml/2006/main">
                  <a:graphicData uri="http://schemas.microsoft.com/office/word/2010/wordprocessingShape">
                    <wps:wsp>
                      <wps:cNvSpPr/>
                      <wps:spPr>
                        <a:xfrm>
                          <a:off x="0" y="0"/>
                          <a:ext cx="5493715" cy="2023303"/>
                        </a:xfrm>
                        <a:prstGeom prst="roundRect">
                          <a:avLst>
                            <a:gd name="adj" fmla="val 0"/>
                          </a:avLst>
                        </a:prstGeom>
                        <a:solidFill>
                          <a:srgbClr val="2F54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E6F380" w14:textId="77777777" w:rsidR="008620F8" w:rsidRPr="00165DFB" w:rsidRDefault="008620F8" w:rsidP="00165DFB">
                            <w:pPr>
                              <w:pStyle w:val="encadre"/>
                              <w:ind w:left="357" w:right="284"/>
                              <w:rPr>
                                <w:rFonts w:cs="Arial"/>
                                <w:b w:val="0"/>
                                <w:bCs/>
                                <w:sz w:val="24"/>
                                <w:szCs w:val="24"/>
                              </w:rPr>
                            </w:pPr>
                            <w:r w:rsidRPr="00165DFB">
                              <w:rPr>
                                <w:rFonts w:cs="Arial"/>
                                <w:b w:val="0"/>
                                <w:bCs/>
                                <w:sz w:val="24"/>
                                <w:szCs w:val="24"/>
                              </w:rPr>
                              <w:t xml:space="preserve">La hausse du nombre d’hommes âgés met en lumière une nouvelle réalité à prendre en considération dans plusieurs des champs d’action MADA. On peut se demander si les hommes aînés ont des champs d’intérêt différents des femmes et explorer de quelle manière il serait possible de mieux les desservir. </w:t>
                            </w:r>
                          </w:p>
                          <w:p w14:paraId="59181D70" w14:textId="77777777" w:rsidR="008620F8" w:rsidRPr="00165DFB" w:rsidRDefault="008620F8" w:rsidP="00F357E5">
                            <w:pPr>
                              <w:pStyle w:val="encadre"/>
                              <w:numPr>
                                <w:ilvl w:val="0"/>
                                <w:numId w:val="42"/>
                              </w:numPr>
                              <w:spacing w:before="120"/>
                              <w:ind w:right="284"/>
                              <w:rPr>
                                <w:rFonts w:cs="Arial"/>
                                <w:b w:val="0"/>
                                <w:bCs/>
                                <w:sz w:val="24"/>
                                <w:szCs w:val="24"/>
                              </w:rPr>
                            </w:pPr>
                            <w:r w:rsidRPr="00165DFB">
                              <w:rPr>
                                <w:rFonts w:cs="Arial"/>
                                <w:b w:val="0"/>
                                <w:bCs/>
                                <w:sz w:val="24"/>
                                <w:szCs w:val="24"/>
                              </w:rPr>
                              <w:t>Les services de loisirs proposent-ils des activités attrayantes pour les hommes aînés (exemple des ateliers de menuiserie de type Men’s Shed)?</w:t>
                            </w:r>
                          </w:p>
                          <w:p w14:paraId="0D2E2469" w14:textId="77777777" w:rsidR="008620F8" w:rsidRPr="00165DFB" w:rsidRDefault="008620F8" w:rsidP="00F357E5">
                            <w:pPr>
                              <w:pStyle w:val="encadre"/>
                              <w:numPr>
                                <w:ilvl w:val="0"/>
                                <w:numId w:val="42"/>
                              </w:numPr>
                              <w:spacing w:before="120"/>
                              <w:ind w:right="284"/>
                              <w:rPr>
                                <w:rFonts w:cs="Arial"/>
                                <w:b w:val="0"/>
                                <w:bCs/>
                                <w:sz w:val="24"/>
                                <w:szCs w:val="24"/>
                              </w:rPr>
                            </w:pPr>
                            <w:r w:rsidRPr="00165DFB">
                              <w:rPr>
                                <w:rFonts w:cs="Arial"/>
                                <w:b w:val="0"/>
                                <w:bCs/>
                                <w:sz w:val="24"/>
                                <w:szCs w:val="24"/>
                              </w:rPr>
                              <w:t>Les services de santé et les services sociaux sont-ils adaptés à certains besoins particuliers des hommes aînés?</w:t>
                            </w:r>
                          </w:p>
                          <w:p w14:paraId="3E379800" w14:textId="77777777" w:rsidR="008620F8" w:rsidRPr="00875AB3" w:rsidRDefault="008620F8" w:rsidP="008620F8">
                            <w:pPr>
                              <w:rPr>
                                <w:rFonts w:cs="Arial"/>
                              </w:rPr>
                            </w:pPr>
                          </w:p>
                          <w:p w14:paraId="75CF1941" w14:textId="77777777" w:rsidR="008620F8" w:rsidRPr="00875AB3" w:rsidRDefault="008620F8" w:rsidP="008620F8">
                            <w:pPr>
                              <w:rPr>
                                <w:rFonts w:cs="Arial"/>
                              </w:rPr>
                            </w:pPr>
                          </w:p>
                          <w:p w14:paraId="2508C9FA" w14:textId="77777777" w:rsidR="008620F8" w:rsidRPr="00BE6CFC" w:rsidRDefault="008620F8" w:rsidP="008620F8">
                            <w:pP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4B9A38" id="Rectangle à coins arrondis 7" o:spid="_x0000_s1028" style="position:absolute;left:0;text-align:left;margin-left:0;margin-top:4.45pt;width:432.6pt;height:159.3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" fillcolor="#2f5496" stroked="f" strokeweight="1pt">
                <v:stroke joinstyle="miter"/>
                <v:textbox>
                  <w:txbxContent>
                    <w:p w14:paraId="0AE6F380" w14:textId="77777777" w:rsidR="008620F8" w:rsidRPr="00165DFB" w:rsidRDefault="008620F8" w:rsidP="00165DFB">
                      <w:pPr>
                        <w:pStyle w:val="encadre"/>
                        <w:ind w:left="357" w:right="284"/>
                        <w:rPr>
                          <w:rFonts w:cs="Arial"/>
                          <w:b w:val="0"/>
                          <w:bCs/>
                          <w:sz w:val="24"/>
                          <w:szCs w:val="24"/>
                        </w:rPr>
                      </w:pPr>
                      <w:r w:rsidRPr="00165DFB">
                        <w:rPr>
                          <w:rFonts w:cs="Arial"/>
                          <w:b w:val="0"/>
                          <w:bCs/>
                          <w:sz w:val="24"/>
                          <w:szCs w:val="24"/>
                        </w:rPr>
                        <w:t xml:space="preserve">La hausse du nombre d’hommes âgés met en lumière une nouvelle réalité à prendre en considération dans plusieurs des champs d’action MADA. On peut se demander si les hommes aînés ont des champs d’intérêt différents des femmes et explorer de quelle manière il serait possible de mieux les desservir. </w:t>
                      </w:r>
                    </w:p>
                    <w:p w14:paraId="59181D70" w14:textId="77777777" w:rsidR="008620F8" w:rsidRPr="00165DFB" w:rsidRDefault="008620F8" w:rsidP="00F357E5">
                      <w:pPr>
                        <w:pStyle w:val="encadre"/>
                        <w:numPr>
                          <w:ilvl w:val="0"/>
                          <w:numId w:val="42"/>
                        </w:numPr>
                        <w:spacing w:before="120"/>
                        <w:ind w:right="284"/>
                        <w:rPr>
                          <w:rFonts w:cs="Arial"/>
                          <w:b w:val="0"/>
                          <w:bCs/>
                          <w:sz w:val="24"/>
                          <w:szCs w:val="24"/>
                        </w:rPr>
                      </w:pPr>
                      <w:r w:rsidRPr="00165DFB">
                        <w:rPr>
                          <w:rFonts w:cs="Arial"/>
                          <w:b w:val="0"/>
                          <w:bCs/>
                          <w:sz w:val="24"/>
                          <w:szCs w:val="24"/>
                        </w:rPr>
                        <w:t>Les services de loisirs proposent-ils des activités attrayantes pour les hommes aînés (exemple des ateliers de menuiserie de type Men’s Shed)?</w:t>
                      </w:r>
                    </w:p>
                    <w:p w14:paraId="0D2E2469" w14:textId="77777777" w:rsidR="008620F8" w:rsidRPr="00165DFB" w:rsidRDefault="008620F8" w:rsidP="00F357E5">
                      <w:pPr>
                        <w:pStyle w:val="encadre"/>
                        <w:numPr>
                          <w:ilvl w:val="0"/>
                          <w:numId w:val="42"/>
                        </w:numPr>
                        <w:spacing w:before="120"/>
                        <w:ind w:right="284"/>
                        <w:rPr>
                          <w:rFonts w:cs="Arial"/>
                          <w:b w:val="0"/>
                          <w:bCs/>
                          <w:sz w:val="24"/>
                          <w:szCs w:val="24"/>
                        </w:rPr>
                      </w:pPr>
                      <w:r w:rsidRPr="00165DFB">
                        <w:rPr>
                          <w:rFonts w:cs="Arial"/>
                          <w:b w:val="0"/>
                          <w:bCs/>
                          <w:sz w:val="24"/>
                          <w:szCs w:val="24"/>
                        </w:rPr>
                        <w:t>Les services de santé et les services sociaux sont-ils adaptés à certains besoins particuliers des hommes aînés?</w:t>
                      </w:r>
                    </w:p>
                    <w:p w14:paraId="3E379800" w14:textId="77777777" w:rsidR="008620F8" w:rsidRPr="00875AB3" w:rsidRDefault="008620F8" w:rsidP="008620F8">
                      <w:pPr>
                        <w:rPr>
                          <w:rFonts w:cs="Arial"/>
                        </w:rPr>
                      </w:pPr>
                    </w:p>
                    <w:p w14:paraId="75CF1941" w14:textId="77777777" w:rsidR="008620F8" w:rsidRPr="00875AB3" w:rsidRDefault="008620F8" w:rsidP="008620F8">
                      <w:pPr>
                        <w:rPr>
                          <w:rFonts w:cs="Arial"/>
                        </w:rPr>
                      </w:pPr>
                    </w:p>
                    <w:p w14:paraId="2508C9FA" w14:textId="77777777" w:rsidR="008620F8" w:rsidRPr="00BE6CFC" w:rsidRDefault="008620F8" w:rsidP="008620F8">
                      <w:pPr>
                        <w:rPr>
                          <w:rFonts w:cs="Arial"/>
                        </w:rPr>
                      </w:pPr>
                    </w:p>
                  </w:txbxContent>
                </v:textbox>
                <w10:wrap anchorx="margin"/>
              </v:roundrect>
            </w:pict>
          </mc:Fallback>
        </mc:AlternateContent>
      </w:r>
    </w:p>
    <w:p w14:paraId="02AD691A" w14:textId="5016C9DF" w:rsidR="008620F8" w:rsidRDefault="008620F8" w:rsidP="008620F8">
      <w:pPr>
        <w:spacing w:line="360" w:lineRule="auto"/>
        <w:rPr>
          <w:rFonts w:ascii="Times New Roman" w:hAnsi="Times New Roman" w:cs="Times New Roman"/>
        </w:rPr>
      </w:pPr>
    </w:p>
    <w:p w14:paraId="1011EAF8" w14:textId="270045CB" w:rsidR="00F357E5" w:rsidRDefault="00C078A8" w:rsidP="00F357E5">
      <w:pPr>
        <w:pStyle w:val="Sansinterligne"/>
      </w:pPr>
      <w:r>
        <w:rPr>
          <w:rFonts w:ascii="Times New Roman" w:hAnsi="Times New Roman" w:cs="Times New Roman"/>
          <w:noProof/>
          <w:lang w:eastAsia="fr-CA"/>
        </w:rPr>
        <mc:AlternateContent>
          <mc:Choice Requires="wps">
            <w:drawing>
              <wp:anchor distT="0" distB="0" distL="114300" distR="114300" simplePos="0" relativeHeight="251679744" behindDoc="0" locked="0" layoutInCell="1" allowOverlap="1" wp14:anchorId="3C47680C" wp14:editId="5F3716B1">
                <wp:simplePos x="0" y="0"/>
                <wp:positionH relativeFrom="margin">
                  <wp:posOffset>-205740</wp:posOffset>
                </wp:positionH>
                <wp:positionV relativeFrom="paragraph">
                  <wp:posOffset>4900930</wp:posOffset>
                </wp:positionV>
                <wp:extent cx="5464455" cy="219075"/>
                <wp:effectExtent l="0" t="0" r="3175" b="9525"/>
                <wp:wrapNone/>
                <wp:docPr id="29" name="Zone de texte 29"/>
                <wp:cNvGraphicFramePr/>
                <a:graphic xmlns:a="http://schemas.openxmlformats.org/drawingml/2006/main">
                  <a:graphicData uri="http://schemas.microsoft.com/office/word/2010/wordprocessingShape">
                    <wps:wsp>
                      <wps:cNvSpPr txBox="1"/>
                      <wps:spPr>
                        <a:xfrm>
                          <a:off x="0" y="0"/>
                          <a:ext cx="5464455" cy="2190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4D7297" w14:textId="27EFFCEF" w:rsidR="00F357E5" w:rsidRPr="008631D6" w:rsidRDefault="00F357E5" w:rsidP="003A6676">
                            <w:pPr>
                              <w:jc w:val="left"/>
                              <w:rPr>
                                <w:rFonts w:cs="Arial"/>
                                <w:sz w:val="18"/>
                                <w:szCs w:val="18"/>
                              </w:rPr>
                            </w:pPr>
                            <w:r w:rsidRPr="008631D6">
                              <w:rPr>
                                <w:rFonts w:cs="Arial"/>
                                <w:sz w:val="18"/>
                                <w:szCs w:val="18"/>
                              </w:rPr>
                              <w:t xml:space="preserve">Source : </w:t>
                            </w:r>
                            <w:r w:rsidR="003A6676">
                              <w:rPr>
                                <w:rFonts w:cs="Arial"/>
                                <w:sz w:val="18"/>
                                <w:szCs w:val="18"/>
                              </w:rPr>
                              <w:t xml:space="preserve">Gouvernement du Québec, </w:t>
                            </w:r>
                            <w:r w:rsidRPr="008631D6">
                              <w:rPr>
                                <w:rFonts w:cs="Arial"/>
                                <w:sz w:val="18"/>
                                <w:szCs w:val="18"/>
                              </w:rPr>
                              <w:t>Institut de la statistique du Québec</w:t>
                            </w:r>
                            <w:r w:rsidRPr="008631D6">
                              <w:rPr>
                                <w:rFonts w:cs="Arial"/>
                                <w:color w:val="000000"/>
                                <w:sz w:val="18"/>
                                <w:szCs w:val="18"/>
                              </w:rPr>
                              <w:t xml:space="preserve">, </w:t>
                            </w:r>
                            <w:r w:rsidR="00C078A8">
                              <w:rPr>
                                <w:rFonts w:cs="Arial"/>
                                <w:color w:val="000000"/>
                                <w:sz w:val="18"/>
                                <w:szCs w:val="18"/>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7680C" id="Zone de texte 29" o:spid="_x0000_s1029" type="#_x0000_t202" style="position:absolute;margin-left:-16.2pt;margin-top:385.9pt;width:430.25pt;height:17.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" fillcolor="white [3212]" stroked="f" strokeweight=".5pt">
                <v:textbox>
                  <w:txbxContent>
                    <w:p w14:paraId="5C4D7297" w14:textId="27EFFCEF" w:rsidR="00F357E5" w:rsidRPr="008631D6" w:rsidRDefault="00F357E5" w:rsidP="003A6676">
                      <w:pPr>
                        <w:jc w:val="left"/>
                        <w:rPr>
                          <w:rFonts w:cs="Arial"/>
                          <w:sz w:val="18"/>
                          <w:szCs w:val="18"/>
                        </w:rPr>
                      </w:pPr>
                      <w:r w:rsidRPr="008631D6">
                        <w:rPr>
                          <w:rFonts w:cs="Arial"/>
                          <w:sz w:val="18"/>
                          <w:szCs w:val="18"/>
                        </w:rPr>
                        <w:t xml:space="preserve">Source : </w:t>
                      </w:r>
                      <w:r w:rsidR="003A6676">
                        <w:rPr>
                          <w:rFonts w:cs="Arial"/>
                          <w:sz w:val="18"/>
                          <w:szCs w:val="18"/>
                        </w:rPr>
                        <w:t xml:space="preserve">Gouvernement du Québec, </w:t>
                      </w:r>
                      <w:r w:rsidRPr="008631D6">
                        <w:rPr>
                          <w:rFonts w:cs="Arial"/>
                          <w:sz w:val="18"/>
                          <w:szCs w:val="18"/>
                        </w:rPr>
                        <w:t>Institut de la statistique du Québec</w:t>
                      </w:r>
                      <w:r w:rsidRPr="008631D6">
                        <w:rPr>
                          <w:rFonts w:cs="Arial"/>
                          <w:color w:val="000000"/>
                          <w:sz w:val="18"/>
                          <w:szCs w:val="18"/>
                        </w:rPr>
                        <w:t xml:space="preserve">, </w:t>
                      </w:r>
                      <w:r w:rsidR="00C078A8">
                        <w:rPr>
                          <w:rFonts w:cs="Arial"/>
                          <w:color w:val="000000"/>
                          <w:sz w:val="18"/>
                          <w:szCs w:val="18"/>
                        </w:rPr>
                        <w:t>2019.</w:t>
                      </w:r>
                    </w:p>
                  </w:txbxContent>
                </v:textbox>
                <w10:wrap anchorx="margin"/>
              </v:shape>
            </w:pict>
          </mc:Fallback>
        </mc:AlternateContent>
      </w:r>
      <w:r>
        <w:rPr>
          <w:noProof/>
          <w:lang w:eastAsia="fr-CA"/>
        </w:rPr>
        <w:drawing>
          <wp:anchor distT="0" distB="0" distL="114300" distR="114300" simplePos="0" relativeHeight="251676672" behindDoc="0" locked="0" layoutInCell="1" allowOverlap="1" wp14:anchorId="3F2B747A" wp14:editId="3CD9ACAE">
            <wp:simplePos x="0" y="0"/>
            <wp:positionH relativeFrom="column">
              <wp:posOffset>-355600</wp:posOffset>
            </wp:positionH>
            <wp:positionV relativeFrom="paragraph">
              <wp:posOffset>1896110</wp:posOffset>
            </wp:positionV>
            <wp:extent cx="6125845" cy="3190875"/>
            <wp:effectExtent l="0" t="0" r="8255" b="9525"/>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125845" cy="3190875"/>
                    </a:xfrm>
                    <a:prstGeom prst="rect">
                      <a:avLst/>
                    </a:prstGeom>
                  </pic:spPr>
                </pic:pic>
              </a:graphicData>
            </a:graphic>
          </wp:anchor>
        </w:drawing>
      </w:r>
      <w:r w:rsidR="00422563">
        <w:br w:type="page"/>
      </w:r>
    </w:p>
    <w:p w14:paraId="715A5E31" w14:textId="7CDB78A2" w:rsidR="00F357E5" w:rsidRPr="008631D6" w:rsidRDefault="00F357E5" w:rsidP="008631D6">
      <w:pPr>
        <w:spacing w:before="240" w:after="0" w:line="264" w:lineRule="auto"/>
      </w:pPr>
      <w:r w:rsidRPr="008631D6">
        <w:lastRenderedPageBreak/>
        <w:t>D’autres caractéristiques liées au parcours de vie des générations façonnent les perspectives des individus. Certains aînés du grand âge ont connu la grande crise économique des années 1930, la Seconde Guerre mondiale (1939-1945) et d’autres crises sociales importantes survenues dans différents pays du monde. Ils expriment souvent des valeurs et des priorités bien différentes de celles des générations plus jeunes. Ces particularités expliquent en partie des choix, des modes de vie et des perspectives d’avenir qui diffèrent considérablement.</w:t>
      </w:r>
    </w:p>
    <w:p w14:paraId="32DC5EE9" w14:textId="77777777" w:rsidR="00F357E5" w:rsidRPr="008E3A8B" w:rsidRDefault="00F357E5" w:rsidP="00F357E5">
      <w:pPr>
        <w:pStyle w:val="Sansinterligne"/>
      </w:pPr>
    </w:p>
    <w:p w14:paraId="4B31D3B4" w14:textId="59DDDE2D" w:rsidR="00F357E5" w:rsidRPr="008631D6" w:rsidRDefault="00F357E5" w:rsidP="008631D6">
      <w:pPr>
        <w:pStyle w:val="Titre2"/>
        <w:numPr>
          <w:ilvl w:val="0"/>
          <w:numId w:val="0"/>
        </w:numPr>
        <w:spacing w:before="480"/>
      </w:pPr>
      <w:r w:rsidRPr="008631D6">
        <w:t>4. Le revenu et les inégalités</w:t>
      </w:r>
    </w:p>
    <w:p w14:paraId="51939008" w14:textId="77777777" w:rsidR="00F357E5" w:rsidRPr="008631D6" w:rsidRDefault="00F357E5" w:rsidP="008631D6">
      <w:pPr>
        <w:spacing w:before="240" w:after="0" w:line="264" w:lineRule="auto"/>
      </w:pPr>
      <w:r w:rsidRPr="008631D6">
        <w:t>Le moment de la retraite représente pour les Québécois une période de grand changement sur le plan de leur situation financière et de tout ce qui en découle. Pour certains aînés retraités, il est possible de se fier à leur revenu pour vivre, et même profiter pleinement des activités qui s’offrent à eux, alors que d’autres se retrouvent dans une situation financière précaire qui réduit leur accès à des activités.</w:t>
      </w:r>
    </w:p>
    <w:p w14:paraId="25097579" w14:textId="7B699F10" w:rsidR="00F357E5" w:rsidRPr="008631D6" w:rsidRDefault="00F357E5" w:rsidP="008631D6">
      <w:pPr>
        <w:spacing w:before="240" w:after="0" w:line="264" w:lineRule="auto"/>
      </w:pPr>
      <w:r w:rsidRPr="008631D6">
        <w:t>Les femmes âgées ont une plus grande vulnérabilité que les hommes aînés en matière de finances personnelles et familiales. Cette situation les met à risque de vivre certaines difficultés, comme de disposer de revenus moindres alors qu’elles vivent plus souvent seules, ce qui leur impose d’assumer toutes les charges de l’habitation (loyer, taxes, chauffage, entretien, etc.). Il faut noter que 33 % des femmes de 65 ans et plus vivent seules et que cette proportion augmente au fur et à mesure qu’elles vieillissent</w:t>
      </w:r>
      <w:r w:rsidRPr="008631D6">
        <w:rPr>
          <w:vertAlign w:val="superscript"/>
        </w:rPr>
        <w:footnoteReference w:id="13"/>
      </w:r>
      <w:r w:rsidRPr="008631D6">
        <w:t>.</w:t>
      </w:r>
    </w:p>
    <w:p w14:paraId="7FB137A0" w14:textId="77777777" w:rsidR="0082347E" w:rsidRDefault="008631D6" w:rsidP="0082347E">
      <w:pPr>
        <w:spacing w:line="360" w:lineRule="auto"/>
        <w:rPr>
          <w:rFonts w:ascii="Times New Roman" w:hAnsi="Times New Roman" w:cs="Times New Roman"/>
        </w:rPr>
      </w:pPr>
      <w:r>
        <w:rPr>
          <w:rFonts w:cs="Arial"/>
          <w:noProof/>
          <w:lang w:eastAsia="fr-CA"/>
        </w:rPr>
        <mc:AlternateContent>
          <mc:Choice Requires="wps">
            <w:drawing>
              <wp:anchor distT="0" distB="0" distL="114300" distR="114300" simplePos="0" relativeHeight="251674624" behindDoc="0" locked="0" layoutInCell="1" allowOverlap="1" wp14:anchorId="4D672D9E" wp14:editId="42DEA79D">
                <wp:simplePos x="0" y="0"/>
                <wp:positionH relativeFrom="column">
                  <wp:posOffset>21590</wp:posOffset>
                </wp:positionH>
                <wp:positionV relativeFrom="paragraph">
                  <wp:posOffset>254635</wp:posOffset>
                </wp:positionV>
                <wp:extent cx="5493385" cy="2186940"/>
                <wp:effectExtent l="0" t="0" r="0" b="3810"/>
                <wp:wrapTopAndBottom/>
                <wp:docPr id="30" name="Rectangle à coins arrondis 10"/>
                <wp:cNvGraphicFramePr/>
                <a:graphic xmlns:a="http://schemas.openxmlformats.org/drawingml/2006/main">
                  <a:graphicData uri="http://schemas.microsoft.com/office/word/2010/wordprocessingShape">
                    <wps:wsp>
                      <wps:cNvSpPr/>
                      <wps:spPr>
                        <a:xfrm>
                          <a:off x="0" y="0"/>
                          <a:ext cx="5493385" cy="2186940"/>
                        </a:xfrm>
                        <a:prstGeom prst="roundRect">
                          <a:avLst>
                            <a:gd name="adj" fmla="val 0"/>
                          </a:avLst>
                        </a:prstGeom>
                        <a:solidFill>
                          <a:srgbClr val="2F54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F15467" w14:textId="65091B85" w:rsidR="00F357E5" w:rsidRPr="008631D6" w:rsidRDefault="008631D6" w:rsidP="00165DFB">
                            <w:pPr>
                              <w:pStyle w:val="encadre"/>
                              <w:spacing w:before="0"/>
                              <w:ind w:left="357" w:right="284"/>
                              <w:jc w:val="left"/>
                              <w:rPr>
                                <w:rFonts w:cs="Arial"/>
                                <w:sz w:val="28"/>
                                <w:szCs w:val="28"/>
                              </w:rPr>
                            </w:pPr>
                            <w:r w:rsidRPr="008631D6">
                              <w:rPr>
                                <w:rFonts w:cs="Arial"/>
                                <w:sz w:val="28"/>
                                <w:szCs w:val="28"/>
                              </w:rPr>
                              <w:t>LE REVENU MODESTE : UN FREIN À LA PARTICIPATION</w:t>
                            </w:r>
                          </w:p>
                          <w:p w14:paraId="3B3FE862" w14:textId="77777777" w:rsidR="00F357E5" w:rsidRPr="00165DFB" w:rsidRDefault="00F357E5" w:rsidP="008631D6">
                            <w:pPr>
                              <w:pStyle w:val="encadre"/>
                              <w:ind w:left="357" w:right="284"/>
                              <w:rPr>
                                <w:rFonts w:cs="Arial"/>
                                <w:b w:val="0"/>
                                <w:bCs/>
                                <w:sz w:val="24"/>
                                <w:szCs w:val="24"/>
                              </w:rPr>
                            </w:pPr>
                            <w:r w:rsidRPr="00165DFB">
                              <w:rPr>
                                <w:rFonts w:cs="Arial"/>
                                <w:b w:val="0"/>
                                <w:bCs/>
                                <w:sz w:val="24"/>
                                <w:szCs w:val="24"/>
                              </w:rPr>
                              <w:t xml:space="preserve">La précarité dans laquelle plusieurs aînés se trouvent peut compromettre leur capacité à participer. Le fait de développer des activités gratuites ou à faible coût constitue, en soi, une mesure qui suscite la participation des aînés. </w:t>
                            </w:r>
                          </w:p>
                          <w:p w14:paraId="1DC2BFE9" w14:textId="77777777" w:rsidR="00F357E5" w:rsidRPr="00165DFB" w:rsidRDefault="00F357E5" w:rsidP="008631D6">
                            <w:pPr>
                              <w:pStyle w:val="encadre"/>
                              <w:ind w:left="357" w:right="284"/>
                              <w:rPr>
                                <w:rFonts w:cs="Arial"/>
                                <w:b w:val="0"/>
                                <w:bCs/>
                                <w:sz w:val="24"/>
                                <w:szCs w:val="24"/>
                              </w:rPr>
                            </w:pPr>
                            <w:r w:rsidRPr="00165DFB">
                              <w:rPr>
                                <w:rFonts w:cs="Arial"/>
                                <w:b w:val="0"/>
                                <w:bCs/>
                                <w:sz w:val="24"/>
                                <w:szCs w:val="24"/>
                              </w:rPr>
                              <w:t>Le choix des activités est donc fondamental pour l’inclusion de tous les aînés, indépendamment de leur genre et de leur situation financière. Pensez à réduire davantage les coûts du transport, de l’activité elle-même ainsi que du matériel et de l’équipement nécessaires.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672D9E" id="Rectangle à coins arrondis 10" o:spid="_x0000_s1030" style="position:absolute;left:0;text-align:left;margin-left:1.7pt;margin-top:20.05pt;width:432.55pt;height:17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" fillcolor="#2f5496" stroked="f" strokeweight="1pt">
                <v:stroke joinstyle="miter"/>
                <v:textbox>
                  <w:txbxContent>
                    <w:p w14:paraId="6EF15467" w14:textId="65091B85" w:rsidR="00F357E5" w:rsidRPr="008631D6" w:rsidRDefault="008631D6" w:rsidP="00165DFB">
                      <w:pPr>
                        <w:pStyle w:val="encadre"/>
                        <w:spacing w:before="0"/>
                        <w:ind w:left="357" w:right="284"/>
                        <w:jc w:val="left"/>
                        <w:rPr>
                          <w:rFonts w:cs="Arial"/>
                          <w:sz w:val="28"/>
                          <w:szCs w:val="28"/>
                        </w:rPr>
                      </w:pPr>
                      <w:r w:rsidRPr="008631D6">
                        <w:rPr>
                          <w:rFonts w:cs="Arial"/>
                          <w:sz w:val="28"/>
                          <w:szCs w:val="28"/>
                        </w:rPr>
                        <w:t>LE REVENU MODESTE : UN FREIN À LA PARTICIPATION</w:t>
                      </w:r>
                    </w:p>
                    <w:p w14:paraId="3B3FE862" w14:textId="77777777" w:rsidR="00F357E5" w:rsidRPr="00165DFB" w:rsidRDefault="00F357E5" w:rsidP="008631D6">
                      <w:pPr>
                        <w:pStyle w:val="encadre"/>
                        <w:ind w:left="357" w:right="284"/>
                        <w:rPr>
                          <w:rFonts w:cs="Arial"/>
                          <w:b w:val="0"/>
                          <w:bCs/>
                          <w:sz w:val="24"/>
                          <w:szCs w:val="24"/>
                        </w:rPr>
                      </w:pPr>
                      <w:r w:rsidRPr="00165DFB">
                        <w:rPr>
                          <w:rFonts w:cs="Arial"/>
                          <w:b w:val="0"/>
                          <w:bCs/>
                          <w:sz w:val="24"/>
                          <w:szCs w:val="24"/>
                        </w:rPr>
                        <w:t xml:space="preserve">La précarité dans laquelle plusieurs aînés se trouvent peut compromettre leur capacité à participer. Le fait de développer des activités gratuites ou à faible coût constitue, en soi, une mesure qui suscite la participation des aînés. </w:t>
                      </w:r>
                    </w:p>
                    <w:p w14:paraId="1DC2BFE9" w14:textId="77777777" w:rsidR="00F357E5" w:rsidRPr="00165DFB" w:rsidRDefault="00F357E5" w:rsidP="008631D6">
                      <w:pPr>
                        <w:pStyle w:val="encadre"/>
                        <w:ind w:left="357" w:right="284"/>
                        <w:rPr>
                          <w:rFonts w:cs="Arial"/>
                          <w:b w:val="0"/>
                          <w:bCs/>
                          <w:sz w:val="24"/>
                          <w:szCs w:val="24"/>
                        </w:rPr>
                      </w:pPr>
                      <w:r w:rsidRPr="00165DFB">
                        <w:rPr>
                          <w:rFonts w:cs="Arial"/>
                          <w:b w:val="0"/>
                          <w:bCs/>
                          <w:sz w:val="24"/>
                          <w:szCs w:val="24"/>
                        </w:rPr>
                        <w:t>Le choix des activités est donc fondamental pour l’inclusion de tous les aînés, indépendamment de leur genre et de leur situation financière. Pensez à réduire davantage les coûts du transport, de l’activité elle-même ainsi que du matériel et de l’équipement nécessaires.</w:t>
                      </w:r>
                    </w:p>
                  </w:txbxContent>
                </v:textbox>
                <w10:wrap type="topAndBottom"/>
              </v:roundrect>
            </w:pict>
          </mc:Fallback>
        </mc:AlternateContent>
      </w:r>
    </w:p>
    <w:p w14:paraId="2EBCBCD0" w14:textId="090A7193" w:rsidR="00F357E5" w:rsidRPr="0082347E" w:rsidRDefault="00F357E5" w:rsidP="0082347E">
      <w:pPr>
        <w:spacing w:before="240" w:after="0" w:line="264" w:lineRule="auto"/>
      </w:pPr>
      <w:r w:rsidRPr="008631D6">
        <w:lastRenderedPageBreak/>
        <w:t xml:space="preserve">Le revenu moyen des femmes âgées de 65 ans </w:t>
      </w:r>
      <w:r w:rsidR="00907988">
        <w:t>et</w:t>
      </w:r>
      <w:r w:rsidRPr="008631D6">
        <w:t xml:space="preserve"> plus représente 73 % du revenu moyen des hommes du même âge</w:t>
      </w:r>
      <w:r w:rsidRPr="00907988">
        <w:rPr>
          <w:vertAlign w:val="superscript"/>
        </w:rPr>
        <w:footnoteReference w:id="14"/>
      </w:r>
      <w:r w:rsidRPr="00907988">
        <w:t>.</w:t>
      </w:r>
      <w:r w:rsidRPr="008631D6">
        <w:t xml:space="preserve"> De ce fait, les femmes âgées risquent de vivre dans la pauvreté </w:t>
      </w:r>
      <w:r w:rsidR="00907988">
        <w:t xml:space="preserve">davantage </w:t>
      </w:r>
      <w:r w:rsidRPr="008631D6">
        <w:t xml:space="preserve">que les hommes. Bien que l’écart de revenu entre les genres se rétrécisse quand les aînés atteignent 75 ans, la pauvreté augmente après 85 ans autant chez les femmes que chez les hommes. Les données démontrent que les aînés du grand âge </w:t>
      </w:r>
      <w:r w:rsidR="00907988">
        <w:t xml:space="preserve">ont plus de </w:t>
      </w:r>
      <w:r w:rsidRPr="008631D6">
        <w:t>risque</w:t>
      </w:r>
      <w:r w:rsidR="00907988">
        <w:t xml:space="preserve">s </w:t>
      </w:r>
      <w:r w:rsidRPr="008631D6">
        <w:t xml:space="preserve">de disposer de revenus faibles ou modestes. </w:t>
      </w:r>
    </w:p>
    <w:p w14:paraId="19A43ADA" w14:textId="77777777" w:rsidR="00F357E5" w:rsidRPr="00701910" w:rsidRDefault="00F357E5" w:rsidP="00F357E5">
      <w:pPr>
        <w:pStyle w:val="Sansinterligne"/>
      </w:pPr>
    </w:p>
    <w:p w14:paraId="4C727504" w14:textId="77777777" w:rsidR="00F357E5" w:rsidRPr="008631D6" w:rsidRDefault="00F357E5" w:rsidP="00B14373">
      <w:pPr>
        <w:pStyle w:val="Titre2"/>
        <w:numPr>
          <w:ilvl w:val="0"/>
          <w:numId w:val="0"/>
        </w:numPr>
        <w:spacing w:before="360"/>
      </w:pPr>
      <w:r w:rsidRPr="008631D6">
        <w:t xml:space="preserve">5. Les aînés immigrants </w:t>
      </w:r>
    </w:p>
    <w:p w14:paraId="5E0000A7" w14:textId="77777777" w:rsidR="00F357E5" w:rsidRPr="008631D6" w:rsidRDefault="00F357E5" w:rsidP="008631D6">
      <w:pPr>
        <w:spacing w:before="240" w:after="0" w:line="264" w:lineRule="auto"/>
      </w:pPr>
      <w:r w:rsidRPr="008631D6">
        <w:t>En 2016, les personnes âgées immigrantes représentaient 15 % de la population de 65 ans et plus au Québec</w:t>
      </w:r>
      <w:r w:rsidRPr="00907988">
        <w:rPr>
          <w:vertAlign w:val="superscript"/>
        </w:rPr>
        <w:footnoteReference w:id="15"/>
      </w:r>
      <w:r w:rsidRPr="008631D6">
        <w:t xml:space="preserve">. La plupart des aînés qui ont émigré à un âge avancé sont parrainés par un membre de leur famille. Ils ont rarement accès à la Sécurité de la vieillesse du gouvernement fédéral et à la rente provinciale, ce qui peut leur faire vivre une situation économique précaire ou de dépendance. </w:t>
      </w:r>
    </w:p>
    <w:p w14:paraId="4125FD94" w14:textId="77777777" w:rsidR="00F357E5" w:rsidRPr="008631D6" w:rsidRDefault="00F357E5" w:rsidP="008631D6">
      <w:pPr>
        <w:spacing w:before="240" w:after="0" w:line="264" w:lineRule="auto"/>
      </w:pPr>
      <w:r w:rsidRPr="008631D6">
        <w:t xml:space="preserve">Ils ont accès aux services de santé et aux services sociaux, mais ils ne les utilisent pas beaucoup, car ils font face à différents enjeux : </w:t>
      </w:r>
    </w:p>
    <w:p w14:paraId="697DFAB8" w14:textId="77777777" w:rsidR="00F357E5" w:rsidRPr="00DF5B91" w:rsidRDefault="00F357E5" w:rsidP="00DF5B91">
      <w:pPr>
        <w:pStyle w:val="Paragraphedeliste"/>
        <w:numPr>
          <w:ilvl w:val="0"/>
          <w:numId w:val="46"/>
        </w:numPr>
        <w:spacing w:before="240" w:after="0" w:line="264" w:lineRule="auto"/>
      </w:pPr>
      <w:r w:rsidRPr="00DF5B91">
        <w:t>Barrières de la langue;</w:t>
      </w:r>
    </w:p>
    <w:p w14:paraId="21084A86" w14:textId="77777777" w:rsidR="00F357E5" w:rsidRPr="00DF5B91" w:rsidRDefault="00F357E5" w:rsidP="00DF5B91">
      <w:pPr>
        <w:pStyle w:val="Paragraphedeliste"/>
        <w:numPr>
          <w:ilvl w:val="0"/>
          <w:numId w:val="46"/>
        </w:numPr>
        <w:spacing w:before="240" w:after="0" w:line="264" w:lineRule="auto"/>
      </w:pPr>
      <w:r w:rsidRPr="00DF5B91">
        <w:t>Valeurs culturelles (p. ex., honneur, pudeur, etc.);</w:t>
      </w:r>
    </w:p>
    <w:p w14:paraId="561FBCD0" w14:textId="77777777" w:rsidR="00F357E5" w:rsidRPr="00DF5B91" w:rsidRDefault="00F357E5" w:rsidP="00DF5B91">
      <w:pPr>
        <w:pStyle w:val="Paragraphedeliste"/>
        <w:numPr>
          <w:ilvl w:val="0"/>
          <w:numId w:val="46"/>
        </w:numPr>
        <w:spacing w:before="240" w:after="0" w:line="264" w:lineRule="auto"/>
      </w:pPr>
      <w:r w:rsidRPr="00DF5B91">
        <w:t>Méconnaissance des services;</w:t>
      </w:r>
    </w:p>
    <w:p w14:paraId="1A9B5201" w14:textId="77777777" w:rsidR="00F357E5" w:rsidRPr="00DF5B91" w:rsidRDefault="00F357E5" w:rsidP="00DF5B91">
      <w:pPr>
        <w:pStyle w:val="Paragraphedeliste"/>
        <w:numPr>
          <w:ilvl w:val="0"/>
          <w:numId w:val="46"/>
        </w:numPr>
        <w:spacing w:before="240" w:after="0" w:line="264" w:lineRule="auto"/>
      </w:pPr>
      <w:r w:rsidRPr="00DF5B91">
        <w:t>Méfiance envers l’État;</w:t>
      </w:r>
    </w:p>
    <w:p w14:paraId="53A5AD0E" w14:textId="77777777" w:rsidR="00F357E5" w:rsidRPr="00DF5B91" w:rsidRDefault="00F357E5" w:rsidP="00DF5B91">
      <w:pPr>
        <w:pStyle w:val="Paragraphedeliste"/>
        <w:numPr>
          <w:ilvl w:val="0"/>
          <w:numId w:val="46"/>
        </w:numPr>
        <w:spacing w:before="240" w:after="0" w:line="264" w:lineRule="auto"/>
      </w:pPr>
      <w:r w:rsidRPr="00DF5B91">
        <w:t>Stéréotypes et préjugés entretenus par les professionnels.</w:t>
      </w:r>
    </w:p>
    <w:p w14:paraId="15ECD0E0" w14:textId="77777777" w:rsidR="00F357E5" w:rsidRPr="00DF5B91" w:rsidRDefault="00F357E5" w:rsidP="00DF5B91">
      <w:pPr>
        <w:spacing w:before="240" w:after="0" w:line="264" w:lineRule="auto"/>
      </w:pPr>
      <w:r w:rsidRPr="00DF5B91">
        <w:t>De plus, les aînés immigrants peuvent vivre différentes formes d’exclusion sociale comme des situations de discrimination, d’intimidation et de mise à l’écart. Ces éléments sont à prendre en considération pour éviter que cette exclusion n’entraîne de l’isolement social.</w:t>
      </w:r>
    </w:p>
    <w:p w14:paraId="3915CC3C" w14:textId="4CAEAFD0" w:rsidR="00F357E5" w:rsidRPr="005B6C4B" w:rsidRDefault="00FC124D" w:rsidP="00F357E5">
      <w:pPr>
        <w:pStyle w:val="Sansinterligne"/>
      </w:pPr>
      <w:r>
        <w:rPr>
          <w:rFonts w:ascii="Arial" w:hAnsi="Arial" w:cs="Arial"/>
          <w:noProof/>
          <w:lang w:eastAsia="fr-CA"/>
        </w:rPr>
        <mc:AlternateContent>
          <mc:Choice Requires="wps">
            <w:drawing>
              <wp:anchor distT="0" distB="0" distL="114300" distR="114300" simplePos="0" relativeHeight="251675648" behindDoc="0" locked="0" layoutInCell="1" allowOverlap="1" wp14:anchorId="6B8BBFAB" wp14:editId="1E545C84">
                <wp:simplePos x="0" y="0"/>
                <wp:positionH relativeFrom="margin">
                  <wp:align>left</wp:align>
                </wp:positionH>
                <wp:positionV relativeFrom="paragraph">
                  <wp:posOffset>116027</wp:posOffset>
                </wp:positionV>
                <wp:extent cx="5486121" cy="1894637"/>
                <wp:effectExtent l="0" t="0" r="635" b="0"/>
                <wp:wrapNone/>
                <wp:docPr id="1" name="Rectangle à coins arrondis 1"/>
                <wp:cNvGraphicFramePr/>
                <a:graphic xmlns:a="http://schemas.openxmlformats.org/drawingml/2006/main">
                  <a:graphicData uri="http://schemas.microsoft.com/office/word/2010/wordprocessingShape">
                    <wps:wsp>
                      <wps:cNvSpPr/>
                      <wps:spPr>
                        <a:xfrm>
                          <a:off x="0" y="0"/>
                          <a:ext cx="5486121" cy="1894637"/>
                        </a:xfrm>
                        <a:prstGeom prst="rect">
                          <a:avLst/>
                        </a:prstGeom>
                        <a:solidFill>
                          <a:srgbClr val="2F54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FD4B5D" w14:textId="54B94C41" w:rsidR="00F357E5" w:rsidRPr="00DF5B91" w:rsidRDefault="00D67AEC" w:rsidP="00DF5B91">
                            <w:pPr>
                              <w:pStyle w:val="encadre"/>
                              <w:spacing w:before="0"/>
                              <w:ind w:left="357" w:right="284"/>
                              <w:jc w:val="left"/>
                              <w:rPr>
                                <w:rFonts w:cs="Arial"/>
                                <w:sz w:val="28"/>
                                <w:szCs w:val="28"/>
                              </w:rPr>
                            </w:pPr>
                            <w:r w:rsidRPr="00DF5B91">
                              <w:rPr>
                                <w:rFonts w:cs="Arial"/>
                                <w:sz w:val="28"/>
                                <w:szCs w:val="28"/>
                              </w:rPr>
                              <w:t xml:space="preserve">L’INCLUSION DES AÎNÉS IMMIGRANTS DANS LES </w:t>
                            </w:r>
                            <w:r>
                              <w:rPr>
                                <w:rFonts w:cs="Arial"/>
                                <w:sz w:val="28"/>
                                <w:szCs w:val="28"/>
                              </w:rPr>
                              <w:br/>
                            </w:r>
                            <w:r w:rsidRPr="00DF5B91">
                              <w:rPr>
                                <w:rFonts w:cs="Arial"/>
                                <w:sz w:val="28"/>
                                <w:szCs w:val="28"/>
                              </w:rPr>
                              <w:t>CONSULTATIONS MADA</w:t>
                            </w:r>
                          </w:p>
                          <w:p w14:paraId="3E40E69B" w14:textId="77777777" w:rsidR="00F357E5" w:rsidRPr="00DF5B91" w:rsidRDefault="00F357E5" w:rsidP="00DF5B91">
                            <w:pPr>
                              <w:pStyle w:val="encadre"/>
                              <w:ind w:left="357" w:right="284"/>
                              <w:rPr>
                                <w:rFonts w:cs="Arial"/>
                                <w:b w:val="0"/>
                                <w:bCs/>
                                <w:sz w:val="24"/>
                                <w:szCs w:val="24"/>
                              </w:rPr>
                            </w:pPr>
                            <w:r w:rsidRPr="00DF5B91">
                              <w:rPr>
                                <w:rFonts w:cs="Arial"/>
                                <w:b w:val="0"/>
                                <w:bCs/>
                                <w:sz w:val="24"/>
                                <w:szCs w:val="24"/>
                              </w:rPr>
                              <w:t xml:space="preserve">La barrière de la langue peut décourager la participation des aînés immigrants dans plusieurs activités telles que les consultations MADA. Pour favoriser leur participation, vous pouvez passer par les associations offrant des services aux personnes immigrantes. Elles peuvent même avoir accès à des traducteurs. Ces derniers sont des intermédiaires essentiels pour dépasser la barrière de la langue et vous permettre de répondre adéquatement aux besoins des aînés immigrants.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BBFAB" id="Rectangle à coins arrondis 1" o:spid="_x0000_s1031" style="position:absolute;margin-left:0;margin-top:9.15pt;width:6in;height:149.2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" fillcolor="#2f5496" stroked="f" strokeweight="1pt">
                <v:textbox>
                  <w:txbxContent>
                    <w:p w14:paraId="06FD4B5D" w14:textId="54B94C41" w:rsidR="00F357E5" w:rsidRPr="00DF5B91" w:rsidRDefault="00D67AEC" w:rsidP="00DF5B91">
                      <w:pPr>
                        <w:pStyle w:val="encadre"/>
                        <w:spacing w:before="0"/>
                        <w:ind w:left="357" w:right="284"/>
                        <w:jc w:val="left"/>
                        <w:rPr>
                          <w:rFonts w:cs="Arial"/>
                          <w:sz w:val="28"/>
                          <w:szCs w:val="28"/>
                        </w:rPr>
                      </w:pPr>
                      <w:r w:rsidRPr="00DF5B91">
                        <w:rPr>
                          <w:rFonts w:cs="Arial"/>
                          <w:sz w:val="28"/>
                          <w:szCs w:val="28"/>
                        </w:rPr>
                        <w:t xml:space="preserve">L’INCLUSION DES AÎNÉS IMMIGRANTS DANS LES </w:t>
                      </w:r>
                      <w:r>
                        <w:rPr>
                          <w:rFonts w:cs="Arial"/>
                          <w:sz w:val="28"/>
                          <w:szCs w:val="28"/>
                        </w:rPr>
                        <w:br/>
                      </w:r>
                      <w:r w:rsidRPr="00DF5B91">
                        <w:rPr>
                          <w:rFonts w:cs="Arial"/>
                          <w:sz w:val="28"/>
                          <w:szCs w:val="28"/>
                        </w:rPr>
                        <w:t>CONSULTATIONS MADA</w:t>
                      </w:r>
                    </w:p>
                    <w:p w14:paraId="3E40E69B" w14:textId="77777777" w:rsidR="00F357E5" w:rsidRPr="00DF5B91" w:rsidRDefault="00F357E5" w:rsidP="00DF5B91">
                      <w:pPr>
                        <w:pStyle w:val="encadre"/>
                        <w:ind w:left="357" w:right="284"/>
                        <w:rPr>
                          <w:rFonts w:cs="Arial"/>
                          <w:b w:val="0"/>
                          <w:bCs/>
                          <w:sz w:val="24"/>
                          <w:szCs w:val="24"/>
                        </w:rPr>
                      </w:pPr>
                      <w:r w:rsidRPr="00DF5B91">
                        <w:rPr>
                          <w:rFonts w:cs="Arial"/>
                          <w:b w:val="0"/>
                          <w:bCs/>
                          <w:sz w:val="24"/>
                          <w:szCs w:val="24"/>
                        </w:rPr>
                        <w:t xml:space="preserve">La barrière de la langue peut décourager la participation des aînés immigrants dans plusieurs activités telles que les consultations MADA. Pour favoriser leur participation, vous pouvez passer par les associations offrant des services aux personnes immigrantes. Elles peuvent même avoir accès à des traducteurs. Ces derniers sont des intermédiaires essentiels pour dépasser la barrière de la langue et vous permettre de répondre adéquatement aux besoins des aînés immigrants. </w:t>
                      </w:r>
                    </w:p>
                  </w:txbxContent>
                </v:textbox>
                <w10:wrap anchorx="margin"/>
              </v:rect>
            </w:pict>
          </mc:Fallback>
        </mc:AlternateContent>
      </w:r>
    </w:p>
    <w:p w14:paraId="1448EFBE" w14:textId="51FC073E" w:rsidR="00F357E5" w:rsidRDefault="00F357E5" w:rsidP="00F357E5">
      <w:pPr>
        <w:spacing w:line="360" w:lineRule="auto"/>
        <w:ind w:left="360"/>
        <w:rPr>
          <w:rFonts w:ascii="Times New Roman" w:hAnsi="Times New Roman" w:cs="Times New Roman"/>
          <w:b/>
        </w:rPr>
      </w:pPr>
    </w:p>
    <w:p w14:paraId="4D220C9C" w14:textId="77777777" w:rsidR="00F357E5" w:rsidRDefault="00F357E5" w:rsidP="00F357E5">
      <w:pPr>
        <w:spacing w:line="360" w:lineRule="auto"/>
        <w:ind w:left="360"/>
        <w:rPr>
          <w:rFonts w:ascii="Times New Roman" w:hAnsi="Times New Roman" w:cs="Times New Roman"/>
          <w:b/>
        </w:rPr>
      </w:pPr>
    </w:p>
    <w:p w14:paraId="2E4AAC8B" w14:textId="77777777" w:rsidR="00F357E5" w:rsidRDefault="00F357E5" w:rsidP="00F357E5">
      <w:pPr>
        <w:spacing w:line="360" w:lineRule="auto"/>
        <w:ind w:left="360"/>
        <w:rPr>
          <w:rFonts w:ascii="Times New Roman" w:hAnsi="Times New Roman" w:cs="Times New Roman"/>
          <w:b/>
        </w:rPr>
      </w:pPr>
    </w:p>
    <w:p w14:paraId="01CA0B3E" w14:textId="77777777" w:rsidR="00F357E5" w:rsidRDefault="00F357E5" w:rsidP="00F357E5">
      <w:pPr>
        <w:spacing w:line="360" w:lineRule="auto"/>
        <w:ind w:left="360"/>
        <w:rPr>
          <w:rFonts w:ascii="Times New Roman" w:hAnsi="Times New Roman" w:cs="Times New Roman"/>
          <w:b/>
        </w:rPr>
      </w:pPr>
    </w:p>
    <w:p w14:paraId="3F1E0C96" w14:textId="77777777" w:rsidR="00F357E5" w:rsidRDefault="00F357E5" w:rsidP="00F357E5">
      <w:pPr>
        <w:spacing w:line="360" w:lineRule="auto"/>
        <w:ind w:left="360"/>
        <w:rPr>
          <w:rFonts w:ascii="Times New Roman" w:hAnsi="Times New Roman" w:cs="Times New Roman"/>
          <w:b/>
        </w:rPr>
      </w:pPr>
    </w:p>
    <w:p w14:paraId="7ED59FC5" w14:textId="77777777" w:rsidR="00F357E5" w:rsidRDefault="00F357E5" w:rsidP="00F357E5">
      <w:pPr>
        <w:spacing w:line="360" w:lineRule="auto"/>
        <w:ind w:left="360"/>
        <w:rPr>
          <w:rFonts w:ascii="Times New Roman" w:hAnsi="Times New Roman" w:cs="Times New Roman"/>
          <w:b/>
        </w:rPr>
      </w:pPr>
    </w:p>
    <w:p w14:paraId="37DECF13" w14:textId="77777777" w:rsidR="00F357E5" w:rsidRPr="0082347E" w:rsidRDefault="00F357E5" w:rsidP="0082347E">
      <w:pPr>
        <w:pStyle w:val="Titre2"/>
        <w:numPr>
          <w:ilvl w:val="0"/>
          <w:numId w:val="0"/>
        </w:numPr>
        <w:spacing w:before="240"/>
      </w:pPr>
      <w:r w:rsidRPr="0082347E">
        <w:lastRenderedPageBreak/>
        <w:t>6. L’orientation sexuelle et l’identité de genre</w:t>
      </w:r>
    </w:p>
    <w:p w14:paraId="79BAD4E1" w14:textId="77777777" w:rsidR="00F357E5" w:rsidRPr="0082347E" w:rsidRDefault="00F357E5" w:rsidP="0082347E">
      <w:pPr>
        <w:spacing w:before="240" w:after="0" w:line="264" w:lineRule="auto"/>
      </w:pPr>
      <w:r w:rsidRPr="0082347E">
        <w:t>Les aînés de la communauté LGBTQ+</w:t>
      </w:r>
      <w:r w:rsidRPr="00D67AEC">
        <w:rPr>
          <w:vertAlign w:val="superscript"/>
        </w:rPr>
        <w:footnoteReference w:id="16"/>
      </w:r>
      <w:r w:rsidRPr="00D67AEC">
        <w:rPr>
          <w:vertAlign w:val="superscript"/>
        </w:rPr>
        <w:t xml:space="preserve"> </w:t>
      </w:r>
      <w:r w:rsidRPr="0082347E">
        <w:t>sont vulnérables aux mêmes formes d’exclusion sociale</w:t>
      </w:r>
      <w:r w:rsidRPr="00D67AEC">
        <w:rPr>
          <w:vertAlign w:val="superscript"/>
        </w:rPr>
        <w:footnoteReference w:id="17"/>
      </w:r>
      <w:r w:rsidRPr="0082347E">
        <w:t xml:space="preserve"> que les aînés immigrants. Il faut donc également prendre garde au risque plus grand d’isolement social auquel ils font face. Par ailleurs, ils ont vécu presque toute leur vie dans une société qui était discriminante à l’égard des orientations sexuelles autres qu’hétérosexuelles et aux identités de genre autres que cisgenre</w:t>
      </w:r>
      <w:r w:rsidRPr="00D67AEC">
        <w:rPr>
          <w:vertAlign w:val="superscript"/>
        </w:rPr>
        <w:footnoteReference w:id="18"/>
      </w:r>
      <w:r w:rsidRPr="0082347E">
        <w:t xml:space="preserve">. Révéler leur orientation sexuelle ou leur identité de genre les mettait donc à risque de vivre des agressions, des pertes d’emploi, un rejet familial, des arrestations, et même un traitement médical forcé. </w:t>
      </w:r>
    </w:p>
    <w:p w14:paraId="0F85B8CC" w14:textId="77777777" w:rsidR="00F357E5" w:rsidRPr="0082347E" w:rsidRDefault="00F357E5" w:rsidP="0082347E">
      <w:pPr>
        <w:spacing w:before="240" w:after="0" w:line="264" w:lineRule="auto"/>
      </w:pPr>
      <w:r w:rsidRPr="0082347E">
        <w:t>Ces formes de discrimination émergeaient dans plusieurs espaces fréquentés par les aînés de la communauté LGBTQ+, entre autres dans les établissements de santé, ce qui peut les rendre, encore aujourd’hui, hésitants ou craintifs face aux soins de santé</w:t>
      </w:r>
      <w:r w:rsidRPr="0082347E">
        <w:rPr>
          <w:vertAlign w:val="superscript"/>
        </w:rPr>
        <w:footnoteReference w:id="19"/>
      </w:r>
      <w:r w:rsidRPr="0082347E">
        <w:t xml:space="preserve">. </w:t>
      </w:r>
    </w:p>
    <w:p w14:paraId="180F23BB" w14:textId="77777777" w:rsidR="00F357E5" w:rsidRPr="0069585C" w:rsidRDefault="00F357E5" w:rsidP="00F357E5">
      <w:pPr>
        <w:spacing w:line="360" w:lineRule="auto"/>
        <w:rPr>
          <w:rFonts w:cs="Arial"/>
        </w:rPr>
      </w:pPr>
      <w:r>
        <w:rPr>
          <w:rFonts w:cs="Arial"/>
          <w:noProof/>
          <w:lang w:eastAsia="fr-CA"/>
        </w:rPr>
        <mc:AlternateContent>
          <mc:Choice Requires="wps">
            <w:drawing>
              <wp:anchor distT="0" distB="0" distL="114300" distR="114300" simplePos="0" relativeHeight="251672576" behindDoc="0" locked="0" layoutInCell="1" allowOverlap="1" wp14:anchorId="50C002EE" wp14:editId="5136D50A">
                <wp:simplePos x="0" y="0"/>
                <wp:positionH relativeFrom="column">
                  <wp:posOffset>-21869</wp:posOffset>
                </wp:positionH>
                <wp:positionV relativeFrom="paragraph">
                  <wp:posOffset>175438</wp:posOffset>
                </wp:positionV>
                <wp:extent cx="5544921" cy="2516429"/>
                <wp:effectExtent l="0" t="0" r="0" b="0"/>
                <wp:wrapNone/>
                <wp:docPr id="31" name="Rectangle à coins arrondis 12"/>
                <wp:cNvGraphicFramePr/>
                <a:graphic xmlns:a="http://schemas.openxmlformats.org/drawingml/2006/main">
                  <a:graphicData uri="http://schemas.microsoft.com/office/word/2010/wordprocessingShape">
                    <wps:wsp>
                      <wps:cNvSpPr/>
                      <wps:spPr>
                        <a:xfrm>
                          <a:off x="0" y="0"/>
                          <a:ext cx="5544921" cy="2516429"/>
                        </a:xfrm>
                        <a:prstGeom prst="rect">
                          <a:avLst/>
                        </a:prstGeom>
                        <a:solidFill>
                          <a:srgbClr val="2F54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B92AAC" w14:textId="37867847" w:rsidR="00F357E5" w:rsidRPr="00D67AEC" w:rsidRDefault="00D67AEC" w:rsidP="00D67AEC">
                            <w:pPr>
                              <w:pStyle w:val="encadre"/>
                              <w:ind w:left="357" w:right="284"/>
                              <w:jc w:val="left"/>
                              <w:rPr>
                                <w:rFonts w:cs="Arial"/>
                                <w:sz w:val="28"/>
                                <w:szCs w:val="28"/>
                              </w:rPr>
                            </w:pPr>
                            <w:r w:rsidRPr="00D67AEC">
                              <w:rPr>
                                <w:rFonts w:cs="Arial"/>
                                <w:sz w:val="28"/>
                                <w:szCs w:val="28"/>
                              </w:rPr>
                              <w:t>L’INCLUSION DES AÎNÉS LGBTQ+ DANS LES CONSULTATIONS</w:t>
                            </w:r>
                          </w:p>
                          <w:p w14:paraId="40A6C7CD" w14:textId="77777777" w:rsidR="00F357E5" w:rsidRPr="00D67AEC" w:rsidRDefault="00F357E5" w:rsidP="00D67AEC">
                            <w:pPr>
                              <w:pStyle w:val="encadre"/>
                              <w:ind w:left="357" w:right="284"/>
                              <w:rPr>
                                <w:rFonts w:cs="Arial"/>
                                <w:b w:val="0"/>
                                <w:bCs/>
                                <w:sz w:val="24"/>
                                <w:szCs w:val="24"/>
                              </w:rPr>
                            </w:pPr>
                            <w:r w:rsidRPr="00D67AEC">
                              <w:rPr>
                                <w:rFonts w:cs="Arial"/>
                                <w:b w:val="0"/>
                                <w:bCs/>
                                <w:sz w:val="24"/>
                                <w:szCs w:val="24"/>
                              </w:rPr>
                              <w:t>Comme pour les aînés immigrants, l’exclusion vécue par les aînés LGBTQ+ peut les dissuader de participer aux consultations MADA, entre autres. Vous pouvez créer un groupe de discussion en faisant appel aux associations et aux regroupements LGBTQ+ qui sont directement en contact avec ces aînés.</w:t>
                            </w:r>
                          </w:p>
                          <w:p w14:paraId="4B8219BF" w14:textId="06FCF7B1" w:rsidR="00F357E5" w:rsidRPr="00D67AEC" w:rsidRDefault="00F357E5" w:rsidP="00D67AEC">
                            <w:pPr>
                              <w:pStyle w:val="encadre"/>
                              <w:ind w:left="357" w:right="284"/>
                              <w:rPr>
                                <w:rFonts w:cs="Arial"/>
                                <w:b w:val="0"/>
                                <w:bCs/>
                                <w:sz w:val="24"/>
                                <w:szCs w:val="24"/>
                              </w:rPr>
                            </w:pPr>
                            <w:r w:rsidRPr="00D67AEC">
                              <w:rPr>
                                <w:rFonts w:cs="Arial"/>
                                <w:b w:val="0"/>
                                <w:bCs/>
                                <w:sz w:val="24"/>
                                <w:szCs w:val="24"/>
                              </w:rPr>
                              <w:t>Étant donné la diversité dans cette communauté, il importe de cibler les besoins prioritaires. Pour ce faire, vous pouvez demander aux associations de faire un groupe représentatif des aînés LGBTQ+ de votre municipalité. Il serait également pertinent d’inviter les responsables de ces associations lors de la consultation MADA auprès des intervenants.</w:t>
                            </w:r>
                          </w:p>
                          <w:p w14:paraId="59229771" w14:textId="77777777" w:rsidR="00F357E5" w:rsidRPr="00584E2B" w:rsidRDefault="00F357E5" w:rsidP="00F357E5">
                            <w:pP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002EE" id="Rectangle à coins arrondis 12" o:spid="_x0000_s1032" style="position:absolute;left:0;text-align:left;margin-left:-1.7pt;margin-top:13.8pt;width:436.6pt;height:198.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" fillcolor="#2f5496" stroked="f" strokeweight="1pt">
                <v:textbox>
                  <w:txbxContent>
                    <w:p w14:paraId="1EB92AAC" w14:textId="37867847" w:rsidR="00F357E5" w:rsidRPr="00D67AEC" w:rsidRDefault="00D67AEC" w:rsidP="00D67AEC">
                      <w:pPr>
                        <w:pStyle w:val="encadre"/>
                        <w:ind w:left="357" w:right="284"/>
                        <w:jc w:val="left"/>
                        <w:rPr>
                          <w:rFonts w:cs="Arial"/>
                          <w:sz w:val="28"/>
                          <w:szCs w:val="28"/>
                        </w:rPr>
                      </w:pPr>
                      <w:r w:rsidRPr="00D67AEC">
                        <w:rPr>
                          <w:rFonts w:cs="Arial"/>
                          <w:sz w:val="28"/>
                          <w:szCs w:val="28"/>
                        </w:rPr>
                        <w:t>L’INCLUSION DES AÎNÉS LGBTQ+ DANS LES CONSULTATIONS</w:t>
                      </w:r>
                    </w:p>
                    <w:p w14:paraId="40A6C7CD" w14:textId="77777777" w:rsidR="00F357E5" w:rsidRPr="00D67AEC" w:rsidRDefault="00F357E5" w:rsidP="00D67AEC">
                      <w:pPr>
                        <w:pStyle w:val="encadre"/>
                        <w:ind w:left="357" w:right="284"/>
                        <w:rPr>
                          <w:rFonts w:cs="Arial"/>
                          <w:b w:val="0"/>
                          <w:bCs/>
                          <w:sz w:val="24"/>
                          <w:szCs w:val="24"/>
                        </w:rPr>
                      </w:pPr>
                      <w:r w:rsidRPr="00D67AEC">
                        <w:rPr>
                          <w:rFonts w:cs="Arial"/>
                          <w:b w:val="0"/>
                          <w:bCs/>
                          <w:sz w:val="24"/>
                          <w:szCs w:val="24"/>
                        </w:rPr>
                        <w:t>Comme pour les aînés immigrants, l’exclusion vécue par les aînés LGBTQ+ peut les dissuader de participer aux consultations MADA, entre autres. Vous pouvez créer un groupe de discussion en faisant appel aux associations et aux regroupements LGBTQ+ qui sont directement en contact avec ces aînés.</w:t>
                      </w:r>
                    </w:p>
                    <w:p w14:paraId="4B8219BF" w14:textId="06FCF7B1" w:rsidR="00F357E5" w:rsidRPr="00D67AEC" w:rsidRDefault="00F357E5" w:rsidP="00D67AEC">
                      <w:pPr>
                        <w:pStyle w:val="encadre"/>
                        <w:ind w:left="357" w:right="284"/>
                        <w:rPr>
                          <w:rFonts w:cs="Arial"/>
                          <w:b w:val="0"/>
                          <w:bCs/>
                          <w:sz w:val="24"/>
                          <w:szCs w:val="24"/>
                        </w:rPr>
                      </w:pPr>
                      <w:r w:rsidRPr="00D67AEC">
                        <w:rPr>
                          <w:rFonts w:cs="Arial"/>
                          <w:b w:val="0"/>
                          <w:bCs/>
                          <w:sz w:val="24"/>
                          <w:szCs w:val="24"/>
                        </w:rPr>
                        <w:t>Étant donné la diversité dans cette communauté, il importe de cibler les besoins prioritaires. Pour ce faire, vous pouvez demander aux associations de faire un groupe représentatif des aînés LGBTQ+ de votre municipalité. Il serait également pertinent d’inviter les responsables de ces associations lors de la consultation MADA auprès des intervenants.</w:t>
                      </w:r>
                    </w:p>
                    <w:p w14:paraId="59229771" w14:textId="77777777" w:rsidR="00F357E5" w:rsidRPr="00584E2B" w:rsidRDefault="00F357E5" w:rsidP="00F357E5">
                      <w:pPr>
                        <w:rPr>
                          <w:rFonts w:cs="Arial"/>
                        </w:rPr>
                      </w:pPr>
                    </w:p>
                  </w:txbxContent>
                </v:textbox>
              </v:rect>
            </w:pict>
          </mc:Fallback>
        </mc:AlternateContent>
      </w:r>
      <w:r w:rsidRPr="0069585C">
        <w:rPr>
          <w:rFonts w:cs="Arial"/>
        </w:rPr>
        <w:t xml:space="preserve"> </w:t>
      </w:r>
    </w:p>
    <w:p w14:paraId="17DA8A90" w14:textId="77777777" w:rsidR="00F357E5" w:rsidRDefault="00F357E5" w:rsidP="00F357E5">
      <w:pPr>
        <w:spacing w:line="360" w:lineRule="auto"/>
        <w:rPr>
          <w:rFonts w:ascii="Times New Roman" w:hAnsi="Times New Roman" w:cs="Times New Roman"/>
          <w:b/>
        </w:rPr>
      </w:pPr>
    </w:p>
    <w:p w14:paraId="360270AF" w14:textId="77777777" w:rsidR="00F357E5" w:rsidRDefault="00F357E5" w:rsidP="00F357E5">
      <w:pPr>
        <w:spacing w:line="360" w:lineRule="auto"/>
        <w:rPr>
          <w:rFonts w:ascii="Times New Roman" w:hAnsi="Times New Roman" w:cs="Times New Roman"/>
          <w:b/>
        </w:rPr>
      </w:pPr>
    </w:p>
    <w:p w14:paraId="16A9B029" w14:textId="77777777" w:rsidR="00F357E5" w:rsidRDefault="00F357E5" w:rsidP="00F357E5">
      <w:pPr>
        <w:spacing w:line="360" w:lineRule="auto"/>
        <w:rPr>
          <w:rFonts w:ascii="Times New Roman" w:hAnsi="Times New Roman" w:cs="Times New Roman"/>
          <w:b/>
        </w:rPr>
      </w:pPr>
    </w:p>
    <w:p w14:paraId="06D7CC6C" w14:textId="77777777" w:rsidR="00F357E5" w:rsidRDefault="00F357E5" w:rsidP="00F357E5">
      <w:pPr>
        <w:spacing w:line="360" w:lineRule="auto"/>
        <w:rPr>
          <w:rFonts w:ascii="Times New Roman" w:hAnsi="Times New Roman" w:cs="Times New Roman"/>
          <w:b/>
        </w:rPr>
      </w:pPr>
    </w:p>
    <w:p w14:paraId="1FC9EF34" w14:textId="77777777" w:rsidR="00F357E5" w:rsidRDefault="00F357E5" w:rsidP="00F357E5">
      <w:pPr>
        <w:spacing w:line="360" w:lineRule="auto"/>
        <w:rPr>
          <w:rFonts w:ascii="Times New Roman" w:hAnsi="Times New Roman" w:cs="Times New Roman"/>
          <w:b/>
        </w:rPr>
      </w:pPr>
    </w:p>
    <w:p w14:paraId="20EA5890" w14:textId="77777777" w:rsidR="00F357E5" w:rsidRDefault="00F357E5" w:rsidP="00F357E5">
      <w:pPr>
        <w:spacing w:line="360" w:lineRule="auto"/>
        <w:rPr>
          <w:rFonts w:ascii="Times New Roman" w:hAnsi="Times New Roman" w:cs="Times New Roman"/>
          <w:b/>
        </w:rPr>
      </w:pPr>
    </w:p>
    <w:p w14:paraId="59544867" w14:textId="77777777" w:rsidR="00F357E5" w:rsidRDefault="00F357E5" w:rsidP="00F357E5">
      <w:pPr>
        <w:spacing w:line="360" w:lineRule="auto"/>
        <w:rPr>
          <w:rFonts w:ascii="Times New Roman" w:hAnsi="Times New Roman" w:cs="Times New Roman"/>
          <w:b/>
        </w:rPr>
      </w:pPr>
    </w:p>
    <w:p w14:paraId="69DB7D07" w14:textId="77777777" w:rsidR="00D67AEC" w:rsidRDefault="00D67AEC">
      <w:pPr>
        <w:jc w:val="left"/>
        <w:rPr>
          <w:rFonts w:ascii="Times New Roman" w:hAnsi="Times New Roman" w:cs="Times New Roman"/>
          <w:b/>
          <w:sz w:val="28"/>
          <w:szCs w:val="28"/>
        </w:rPr>
      </w:pPr>
      <w:r>
        <w:rPr>
          <w:rFonts w:ascii="Times New Roman" w:hAnsi="Times New Roman" w:cs="Times New Roman"/>
          <w:b/>
          <w:sz w:val="28"/>
          <w:szCs w:val="28"/>
        </w:rPr>
        <w:br w:type="page"/>
      </w:r>
    </w:p>
    <w:p w14:paraId="116A8B2F" w14:textId="0BFFA7F8" w:rsidR="00F357E5" w:rsidRPr="00D67AEC" w:rsidRDefault="00F357E5" w:rsidP="00D67AEC">
      <w:pPr>
        <w:pStyle w:val="Titre1"/>
        <w:numPr>
          <w:ilvl w:val="0"/>
          <w:numId w:val="0"/>
        </w:numPr>
        <w:spacing w:after="120"/>
      </w:pPr>
      <w:r w:rsidRPr="00D67AEC">
        <w:lastRenderedPageBreak/>
        <w:t>Conclusion</w:t>
      </w:r>
    </w:p>
    <w:p w14:paraId="3F6A55E7" w14:textId="77777777" w:rsidR="00F357E5" w:rsidRPr="00D67AEC" w:rsidRDefault="00F357E5" w:rsidP="00D67AEC">
      <w:pPr>
        <w:spacing w:before="360" w:after="0" w:line="264" w:lineRule="auto"/>
      </w:pPr>
      <w:r w:rsidRPr="00D67AEC">
        <w:t xml:space="preserve">Étant donné le portrait diversifié des aînés, il est primordial de tenir compte de ces caractéristiques tout au long de votre démarche MADA. Le fait d’être à l’affût concernant les préjugés et les stéréotypes, entretenus souvent inconsciemment, contribue à éviter l’adoption de pratiques d’exclusion à l’endroit de certains groupes d’aînés et prédispose à mieux cibler les plus vulnérables. </w:t>
      </w:r>
    </w:p>
    <w:p w14:paraId="5BAE24D1" w14:textId="6D6E51DC" w:rsidR="00F357E5" w:rsidRDefault="00F357E5" w:rsidP="008620F8">
      <w:pPr>
        <w:jc w:val="left"/>
      </w:pPr>
      <w:r>
        <w:br w:type="page"/>
      </w:r>
    </w:p>
    <w:p w14:paraId="668479F4" w14:textId="77777777" w:rsidR="00422563" w:rsidRDefault="00422563" w:rsidP="008620F8">
      <w:pPr>
        <w:jc w:val="left"/>
      </w:pPr>
    </w:p>
    <w:p w14:paraId="058AC017" w14:textId="64778822" w:rsidR="00804B3C" w:rsidRPr="00E8064B" w:rsidRDefault="00804B3C" w:rsidP="00804B3C">
      <w:pPr>
        <w:pStyle w:val="Style1"/>
        <w:spacing w:before="360"/>
        <w:rPr>
          <w:b w:val="0"/>
          <w:bCs/>
          <w:lang w:eastAsia="zh-CN"/>
        </w:rPr>
      </w:pPr>
      <w:r w:rsidRPr="00E8064B">
        <w:rPr>
          <w:b w:val="0"/>
          <w:bCs/>
        </w:rPr>
        <w:t>Coordination</w:t>
      </w:r>
    </w:p>
    <w:p w14:paraId="36F7F052" w14:textId="77777777" w:rsidR="00804B3C" w:rsidRDefault="00804B3C" w:rsidP="00804B3C">
      <w:pPr>
        <w:spacing w:after="120"/>
        <w:jc w:val="left"/>
        <w:rPr>
          <w:b/>
          <w:bCs/>
          <w:lang w:eastAsia="zh-CN"/>
        </w:rPr>
      </w:pPr>
      <w:r>
        <w:rPr>
          <w:lang w:eastAsia="zh-CN"/>
        </w:rPr>
        <w:t>Jean-Philippe Lessard-Beaupré, chef d’équipe</w:t>
      </w:r>
      <w:r>
        <w:rPr>
          <w:lang w:eastAsia="zh-CN"/>
        </w:rPr>
        <w:br/>
        <w:t>Sabrina Marino, directrice du vieillissement actif</w:t>
      </w:r>
      <w:r>
        <w:rPr>
          <w:lang w:eastAsia="zh-CN"/>
        </w:rPr>
        <w:br/>
      </w:r>
      <w:r>
        <w:rPr>
          <w:b/>
          <w:bCs/>
          <w:lang w:eastAsia="zh-CN"/>
        </w:rPr>
        <w:t>Secrétariat aux aînés, ministère de la Santé et des Services sociaux</w:t>
      </w:r>
    </w:p>
    <w:p w14:paraId="60CB5BF2" w14:textId="77777777" w:rsidR="00804B3C" w:rsidRPr="00E8064B" w:rsidRDefault="00804B3C" w:rsidP="00804B3C">
      <w:pPr>
        <w:pStyle w:val="Style1"/>
        <w:rPr>
          <w:b w:val="0"/>
          <w:bCs/>
          <w:lang w:eastAsia="zh-CN"/>
        </w:rPr>
      </w:pPr>
      <w:r>
        <w:br/>
      </w:r>
      <w:r w:rsidRPr="00E8064B">
        <w:rPr>
          <w:b w:val="0"/>
          <w:bCs/>
        </w:rPr>
        <w:t xml:space="preserve">Rédaction de l’outil </w:t>
      </w:r>
    </w:p>
    <w:p w14:paraId="74932ACD" w14:textId="77777777" w:rsidR="00804B3C" w:rsidRDefault="00804B3C" w:rsidP="00804B3C">
      <w:pPr>
        <w:spacing w:after="480"/>
        <w:jc w:val="left"/>
        <w:rPr>
          <w:rFonts w:ascii="Bookman Old Style" w:hAnsi="Bookman Old Style"/>
          <w:b/>
          <w:bCs/>
        </w:rPr>
      </w:pPr>
      <w:r>
        <w:rPr>
          <w:lang w:eastAsia="zh-CN"/>
        </w:rPr>
        <w:t xml:space="preserve">Suzanne Garon, professeure-chercheuse </w:t>
      </w:r>
      <w:r>
        <w:rPr>
          <w:lang w:eastAsia="zh-CN"/>
        </w:rPr>
        <w:br/>
        <w:t>Mario Paris, chercheur associé</w:t>
      </w:r>
      <w:r>
        <w:rPr>
          <w:lang w:eastAsia="zh-CN"/>
        </w:rPr>
        <w:br/>
        <w:t>Nicolas Goudreault, professionnel de recherche</w:t>
      </w:r>
      <w:r>
        <w:rPr>
          <w:lang w:eastAsia="zh-CN"/>
        </w:rPr>
        <w:br/>
        <w:t>Samuèle Rémillard-Boilard, stagiaire postdoctorale</w:t>
      </w:r>
      <w:r w:rsidRPr="00CF635A">
        <w:t xml:space="preserve"> </w:t>
      </w:r>
      <w:r>
        <w:rPr>
          <w:lang w:eastAsia="zh-CN"/>
        </w:rPr>
        <w:br/>
        <w:t xml:space="preserve">Anne Veil, professionnelle de recherche </w:t>
      </w:r>
      <w:r>
        <w:rPr>
          <w:lang w:eastAsia="zh-CN"/>
        </w:rPr>
        <w:br/>
      </w:r>
      <w:r>
        <w:rPr>
          <w:b/>
          <w:bCs/>
          <w:lang w:eastAsia="zh-CN"/>
        </w:rPr>
        <w:t>Centre de recherche sur le vieillissement du Centre intégré universitaire de santé et de services sociaux de l’Estrie – Centre hospitalier universitaire de Sherbrooke</w:t>
      </w:r>
    </w:p>
    <w:p w14:paraId="4CDDFD26" w14:textId="77777777" w:rsidR="00804B3C" w:rsidRPr="00E8064B" w:rsidRDefault="00804B3C" w:rsidP="00804B3C">
      <w:pPr>
        <w:pStyle w:val="Style1"/>
        <w:rPr>
          <w:b w:val="0"/>
          <w:bCs/>
        </w:rPr>
      </w:pPr>
      <w:r w:rsidRPr="00E8064B">
        <w:rPr>
          <w:b w:val="0"/>
          <w:bCs/>
        </w:rPr>
        <w:t xml:space="preserve">Contribution au contenu </w:t>
      </w:r>
    </w:p>
    <w:p w14:paraId="7B456C40" w14:textId="77777777" w:rsidR="00804B3C" w:rsidRPr="0037527F" w:rsidRDefault="00804B3C" w:rsidP="00804B3C">
      <w:pPr>
        <w:spacing w:after="480"/>
        <w:jc w:val="left"/>
        <w:rPr>
          <w:b/>
          <w:bCs/>
          <w:lang w:eastAsia="zh-CN"/>
        </w:rPr>
      </w:pPr>
      <w:r w:rsidRPr="0037527F">
        <w:rPr>
          <w:b/>
          <w:bCs/>
          <w:lang w:eastAsia="zh-CN"/>
        </w:rPr>
        <w:t>Équipe d’Espace MUNI</w:t>
      </w:r>
    </w:p>
    <w:p w14:paraId="3156BE19" w14:textId="77777777" w:rsidR="00804B3C" w:rsidRPr="00E8064B" w:rsidRDefault="00804B3C" w:rsidP="00804B3C">
      <w:pPr>
        <w:pStyle w:val="Style1"/>
        <w:spacing w:before="240"/>
        <w:rPr>
          <w:b w:val="0"/>
          <w:bCs/>
          <w:lang w:eastAsia="zh-CN"/>
        </w:rPr>
      </w:pPr>
      <w:r w:rsidRPr="00E8064B">
        <w:rPr>
          <w:b w:val="0"/>
          <w:bCs/>
          <w:lang w:eastAsia="zh-CN"/>
        </w:rPr>
        <w:t>Graphisme</w:t>
      </w:r>
    </w:p>
    <w:p w14:paraId="67C79FD1" w14:textId="77777777" w:rsidR="00804B3C" w:rsidRPr="006A2DBF" w:rsidRDefault="00804B3C" w:rsidP="00804B3C">
      <w:pPr>
        <w:spacing w:after="480"/>
        <w:jc w:val="left"/>
        <w:rPr>
          <w:b/>
          <w:bCs/>
          <w:lang w:eastAsia="zh-CN"/>
        </w:rPr>
      </w:pPr>
      <w:r>
        <w:rPr>
          <w:b/>
          <w:bCs/>
          <w:lang w:eastAsia="zh-CN"/>
        </w:rPr>
        <w:t>Liliana Leal</w:t>
      </w:r>
    </w:p>
    <w:p w14:paraId="704B13DA" w14:textId="77777777" w:rsidR="00804B3C" w:rsidRPr="00E8064B" w:rsidRDefault="00804B3C" w:rsidP="00804B3C">
      <w:pPr>
        <w:pStyle w:val="Style1"/>
        <w:rPr>
          <w:b w:val="0"/>
          <w:bCs/>
          <w:strike/>
        </w:rPr>
      </w:pPr>
      <w:r w:rsidRPr="00E8064B">
        <w:rPr>
          <w:b w:val="0"/>
          <w:bCs/>
        </w:rPr>
        <w:t>Édition</w:t>
      </w:r>
    </w:p>
    <w:p w14:paraId="0B4586DD" w14:textId="77777777" w:rsidR="00804B3C" w:rsidRDefault="00804B3C" w:rsidP="00804B3C">
      <w:pPr>
        <w:jc w:val="left"/>
      </w:pPr>
      <w:r>
        <w:rPr>
          <w:b/>
          <w:bCs/>
        </w:rPr>
        <w:t>(</w:t>
      </w:r>
      <w:r w:rsidRPr="002E340A">
        <w:rPr>
          <w:b/>
          <w:bCs/>
        </w:rPr>
        <w:t>Nom de la municipalité</w:t>
      </w:r>
      <w:r>
        <w:rPr>
          <w:b/>
          <w:bCs/>
        </w:rPr>
        <w:t xml:space="preserve">) </w:t>
      </w:r>
      <w:r>
        <w:rPr>
          <w:b/>
          <w:bCs/>
        </w:rPr>
        <w:br/>
      </w:r>
    </w:p>
    <w:p w14:paraId="055378B9" w14:textId="77777777" w:rsidR="00804B3C" w:rsidRDefault="00804B3C" w:rsidP="00804B3C">
      <w:pPr>
        <w:jc w:val="left"/>
      </w:pPr>
      <w:r>
        <w:t xml:space="preserve">Le genre masculin employé dans ce document désigne aussi bien les femmes que </w:t>
      </w:r>
      <w:r>
        <w:br/>
        <w:t xml:space="preserve">les hommes. </w:t>
      </w:r>
    </w:p>
    <w:p w14:paraId="6E4AF9AA" w14:textId="2E5B5B29" w:rsidR="00804B3C" w:rsidRDefault="00804B3C" w:rsidP="00804B3C">
      <w:pPr>
        <w:jc w:val="left"/>
      </w:pPr>
    </w:p>
    <w:p w14:paraId="4D58F242" w14:textId="77777777" w:rsidR="00804B3C" w:rsidRDefault="00804B3C" w:rsidP="00804B3C">
      <w:pPr>
        <w:jc w:val="left"/>
      </w:pPr>
    </w:p>
    <w:p w14:paraId="34EF8371" w14:textId="77777777" w:rsidR="00160316" w:rsidRDefault="00160316" w:rsidP="00E32776">
      <w:pPr>
        <w:sectPr w:rsidR="00160316" w:rsidSect="00283AFB">
          <w:headerReference w:type="even" r:id="rId21"/>
          <w:footerReference w:type="even" r:id="rId22"/>
          <w:footerReference w:type="default" r:id="rId23"/>
          <w:pgSz w:w="12240" w:h="15840"/>
          <w:pgMar w:top="1440" w:right="1797" w:bottom="1440" w:left="1797" w:header="794" w:footer="709" w:gutter="0"/>
          <w:cols w:space="708"/>
          <w:docGrid w:linePitch="360"/>
        </w:sectPr>
      </w:pPr>
    </w:p>
    <w:p w14:paraId="1999D7E2" w14:textId="77777777" w:rsidR="00AB2D7E" w:rsidRDefault="00AB2D7E" w:rsidP="00E32776"/>
    <w:sectPr w:rsidR="00AB2D7E" w:rsidSect="00AF6B34">
      <w:headerReference w:type="default" r:id="rId24"/>
      <w:footerReference w:type="even" r:id="rId25"/>
      <w:footerReference w:type="default" r:id="rId26"/>
      <w:pgSz w:w="12240" w:h="15840"/>
      <w:pgMar w:top="1440" w:right="1797" w:bottom="1440" w:left="1797" w:header="73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2DC0A" w14:textId="77777777" w:rsidR="00E21199" w:rsidRDefault="00E21199" w:rsidP="00E54490">
      <w:r>
        <w:separator/>
      </w:r>
    </w:p>
    <w:p w14:paraId="1EF03FB4" w14:textId="77777777" w:rsidR="00E21199" w:rsidRDefault="00E21199"/>
  </w:endnote>
  <w:endnote w:type="continuationSeparator" w:id="0">
    <w:p w14:paraId="0ADE944D" w14:textId="77777777" w:rsidR="00E21199" w:rsidRDefault="00E21199" w:rsidP="00E54490">
      <w:r>
        <w:continuationSeparator/>
      </w:r>
    </w:p>
    <w:p w14:paraId="17EBFF5B" w14:textId="77777777" w:rsidR="00E21199" w:rsidRDefault="00E211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6119F98-1EE3-472A-AB5E-E069B4A92C7E}"/>
    <w:embedBold r:id="rId2" w:fontKey="{367A2468-8927-46AD-A09C-6B2B2525EBDB}"/>
    <w:embedItalic r:id="rId3" w:fontKey="{6FF9B163-2653-45DD-9FF3-DFB045FD3CC7}"/>
  </w:font>
  <w:font w:name="Arial">
    <w:panose1 w:val="020B0604020202020204"/>
    <w:charset w:val="00"/>
    <w:family w:val="swiss"/>
    <w:pitch w:val="variable"/>
    <w:sig w:usb0="E0002EFF" w:usb1="C000785B" w:usb2="00000009" w:usb3="00000000" w:csb0="000001FF" w:csb1="00000000"/>
  </w:font>
  <w:font w:name="Raleway Light">
    <w:panose1 w:val="00000000000000000000"/>
    <w:charset w:val="00"/>
    <w:family w:val="auto"/>
    <w:pitch w:val="variable"/>
    <w:sig w:usb0="A00002FF" w:usb1="5000205B" w:usb2="00000000" w:usb3="00000000" w:csb0="00000197" w:csb1="00000000"/>
    <w:embedRegular r:id="rId4" w:fontKey="{B71EC984-448C-43F1-B935-8FF6F201FAF2}"/>
  </w:font>
  <w:font w:name="Raleway">
    <w:panose1 w:val="00000000000000000000"/>
    <w:charset w:val="00"/>
    <w:family w:val="auto"/>
    <w:pitch w:val="variable"/>
    <w:sig w:usb0="A00002FF" w:usb1="5000205B" w:usb2="00000000" w:usb3="00000000" w:csb0="00000197" w:csb1="00000000"/>
    <w:embedRegular r:id="rId5" w:fontKey="{31CD8F70-4327-4F2C-BFE3-1008D6B7A2C8}"/>
    <w:embedBold r:id="rId6" w:fontKey="{A38C88B4-6781-4E59-AF2D-189D7F0B08BF}"/>
  </w:font>
  <w:font w:name="Arial Narrow">
    <w:panose1 w:val="020B0606020202030204"/>
    <w:charset w:val="00"/>
    <w:family w:val="swiss"/>
    <w:pitch w:val="variable"/>
    <w:sig w:usb0="00000287" w:usb1="00000800" w:usb2="00000000" w:usb3="00000000" w:csb0="0000009F" w:csb1="00000000"/>
    <w:embedRegular r:id="rId7" w:fontKey="{D68D7E19-E2AA-4C8D-9FD2-FBFF74E2CDD7}"/>
    <w:embedBold r:id="rId8" w:fontKey="{0DE93CAA-54D0-4752-AB59-63552034459A}"/>
  </w:font>
  <w:font w:name="Calibri Light">
    <w:panose1 w:val="020F0302020204030204"/>
    <w:charset w:val="00"/>
    <w:family w:val="swiss"/>
    <w:pitch w:val="variable"/>
    <w:sig w:usb0="E4002EFF" w:usb1="C000247B" w:usb2="00000009" w:usb3="00000000" w:csb0="000001FF" w:csb1="00000000"/>
    <w:embedRegular r:id="rId9" w:fontKey="{531F6942-9E0C-4C9C-B08B-3D7634C8D9D0}"/>
    <w:embedItalic r:id="rId10" w:fontKey="{1DBB4519-A3BD-4F68-B517-6B7BA803F3E6}"/>
  </w:font>
  <w:font w:name="Bookman Old Style">
    <w:panose1 w:val="02050604050505020204"/>
    <w:charset w:val="00"/>
    <w:family w:val="roman"/>
    <w:pitch w:val="variable"/>
    <w:sig w:usb0="00000287" w:usb1="00000000" w:usb2="00000000" w:usb3="00000000" w:csb0="0000009F" w:csb1="00000000"/>
    <w:embedRegular r:id="rId11" w:fontKey="{B71BE15D-A341-4803-9B1E-582F84911976}"/>
    <w:embedBold r:id="rId12" w:fontKey="{4EC813BF-50E1-4778-88F0-7DEC60810B70}"/>
  </w:font>
  <w:font w:name="Segoe UI">
    <w:panose1 w:val="020B0502040204020203"/>
    <w:charset w:val="00"/>
    <w:family w:val="swiss"/>
    <w:pitch w:val="variable"/>
    <w:sig w:usb0="E4002EFF" w:usb1="C000E47F" w:usb2="00000009" w:usb3="00000000" w:csb0="000001FF" w:csb1="00000000"/>
    <w:embedRegular r:id="rId13" w:fontKey="{BA70A981-A692-4B53-B52C-85B5604F344A}"/>
  </w:font>
  <w:font w:name="Roboto Condensed">
    <w:panose1 w:val="02000000000000000000"/>
    <w:charset w:val="00"/>
    <w:family w:val="auto"/>
    <w:pitch w:val="variable"/>
    <w:sig w:usb0="E00002FF" w:usb1="5000205B" w:usb2="00000020" w:usb3="00000000" w:csb0="0000019F" w:csb1="00000000"/>
    <w:embedBold r:id="rId14" w:fontKey="{718AA0D4-4817-4C75-970A-EB363DA5BF3C}"/>
  </w:font>
  <w:font w:name="Raleway SemiBold">
    <w:altName w:val="Trebuchet MS"/>
    <w:panose1 w:val="00000000000000000000"/>
    <w:charset w:val="00"/>
    <w:family w:val="auto"/>
    <w:pitch w:val="variable"/>
    <w:sig w:usb0="A00002FF" w:usb1="5000205B" w:usb2="00000000" w:usb3="00000000" w:csb0="00000197" w:csb1="00000000"/>
    <w:embedRegular r:id="rId15" w:fontKey="{226A9D36-F2DD-43AB-B862-7CC12AFA43E2}"/>
    <w:embedBold r:id="rId16" w:fontKey="{7398FE43-690C-4E10-BCCA-5E5E13CDC117}"/>
  </w:font>
  <w:font w:name="Raleway Medium">
    <w:panose1 w:val="00000000000000000000"/>
    <w:charset w:val="00"/>
    <w:family w:val="auto"/>
    <w:pitch w:val="variable"/>
    <w:sig w:usb0="A00002FF" w:usb1="5000205B" w:usb2="00000000" w:usb3="00000000" w:csb0="00000197" w:csb1="00000000"/>
    <w:embedRegular r:id="rId17" w:fontKey="{6ACA1647-9405-419C-B163-E283AD1FA079}"/>
  </w:font>
  <w:font w:name="SimSun">
    <w:altName w:val="宋体"/>
    <w:panose1 w:val="02010600030101010101"/>
    <w:charset w:val="86"/>
    <w:family w:val="auto"/>
    <w:pitch w:val="variable"/>
    <w:sig w:usb0="00000003" w:usb1="288F0000" w:usb2="00000016" w:usb3="00000000" w:csb0="00040001" w:csb1="00000000"/>
  </w:font>
  <w:font w:name="Interstate Light">
    <w:altName w:val="Calibri"/>
    <w:panose1 w:val="00000000000000000000"/>
    <w:charset w:val="00"/>
    <w:family w:val="swiss"/>
    <w:notTrueType/>
    <w:pitch w:val="default"/>
    <w:sig w:usb0="00000003" w:usb1="00000000" w:usb2="00000000" w:usb3="00000000" w:csb0="00000001" w:csb1="00000000"/>
  </w:font>
  <w:font w:name="Raleway ExtraBold">
    <w:altName w:val="Trebuchet MS"/>
    <w:panose1 w:val="00000000000000000000"/>
    <w:charset w:val="00"/>
    <w:family w:val="auto"/>
    <w:pitch w:val="variable"/>
    <w:sig w:usb0="A00002FF" w:usb1="5000205B" w:usb2="00000000" w:usb3="00000000" w:csb0="00000197" w:csb1="00000000"/>
    <w:embedBold r:id="rId18" w:fontKey="{C75AC4A1-45DF-4E20-A057-6DA082520A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496ED" w14:textId="77777777" w:rsidR="002E3537" w:rsidRDefault="002E3537">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F26D8" w14:textId="12955BD5" w:rsidR="0046645B" w:rsidRDefault="0046645B" w:rsidP="00172882">
    <w:pPr>
      <w:pStyle w:val="Style1"/>
      <w:jc w:val="right"/>
    </w:pPr>
    <w:r w:rsidRPr="00BE4B0F">
      <mc:AlternateContent>
        <mc:Choice Requires="wps">
          <w:drawing>
            <wp:anchor distT="0" distB="0" distL="114300" distR="114300" simplePos="0" relativeHeight="251709440" behindDoc="0" locked="0" layoutInCell="1" allowOverlap="1" wp14:anchorId="06F0BDF8" wp14:editId="1083AD80">
              <wp:simplePos x="0" y="0"/>
              <wp:positionH relativeFrom="column">
                <wp:posOffset>6396037</wp:posOffset>
              </wp:positionH>
              <wp:positionV relativeFrom="paragraph">
                <wp:posOffset>-949325</wp:posOffset>
              </wp:positionV>
              <wp:extent cx="1323781" cy="1323781"/>
              <wp:effectExtent l="279400" t="279400" r="226060" b="276860"/>
              <wp:wrapNone/>
              <wp:docPr id="20" name="Rectangle 20"/>
              <wp:cNvGraphicFramePr/>
              <a:graphic xmlns:a="http://schemas.openxmlformats.org/drawingml/2006/main">
                <a:graphicData uri="http://schemas.microsoft.com/office/word/2010/wordprocessingShape">
                  <wps:wsp>
                    <wps:cNvSpPr/>
                    <wps:spPr>
                      <a:xfrm rot="2700000">
                        <a:off x="0" y="0"/>
                        <a:ext cx="1323781" cy="1323781"/>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7A9A9" id="Rectangle 20" o:spid="_x0000_s1026" style="position:absolute;margin-left:503.6pt;margin-top:-74.75pt;width:104.25pt;height:104.25pt;rotation:45;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" fillcolor="#c7e359" stroked="f"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0379402"/>
      <w:docPartObj>
        <w:docPartGallery w:val="Page Numbers (Bottom of Page)"/>
        <w:docPartUnique/>
      </w:docPartObj>
    </w:sdtPr>
    <w:sdtEndPr/>
    <w:sdtContent>
      <w:p w14:paraId="358A8E2F" w14:textId="318FEB51" w:rsidR="00F82603" w:rsidRDefault="00F82603" w:rsidP="00172882">
        <w:pPr>
          <w:pStyle w:val="Style1"/>
          <w:jc w:val="right"/>
        </w:pPr>
        <w:r w:rsidRPr="001A1BF0">
          <mc:AlternateContent>
            <mc:Choice Requires="wps">
              <w:drawing>
                <wp:anchor distT="0" distB="0" distL="114300" distR="114300" simplePos="0" relativeHeight="251683840" behindDoc="0" locked="0" layoutInCell="1" allowOverlap="1" wp14:anchorId="6B233909" wp14:editId="28488D84">
                  <wp:simplePos x="0" y="0"/>
                  <wp:positionH relativeFrom="column">
                    <wp:posOffset>-123825</wp:posOffset>
                  </wp:positionH>
                  <wp:positionV relativeFrom="paragraph">
                    <wp:posOffset>304164</wp:posOffset>
                  </wp:positionV>
                  <wp:extent cx="1280765" cy="1280765"/>
                  <wp:effectExtent l="266700" t="266700" r="205740" b="269240"/>
                  <wp:wrapNone/>
                  <wp:docPr id="11" name="Rectangle 11"/>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B9A25" id="Rectangle 11" o:spid="_x0000_s1026" style="position:absolute;margin-left:-9.75pt;margin-top:23.95pt;width:100.85pt;height:100.85pt;rotation:45;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" fillcolor="#25acc1" stroked="f" strokeweight="1p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1068906"/>
      <w:docPartObj>
        <w:docPartGallery w:val="Page Numbers (Bottom of Page)"/>
        <w:docPartUnique/>
      </w:docPartObj>
    </w:sdtPr>
    <w:sdtEndPr/>
    <w:sdtContent>
      <w:p w14:paraId="4E50E3C6" w14:textId="3D107BA7" w:rsidR="00F82603" w:rsidRDefault="00F82603" w:rsidP="00E54490">
        <w:pPr>
          <w:pStyle w:val="Pieddepage"/>
        </w:pPr>
        <w:r w:rsidRPr="001171F9">
          <w:rPr>
            <w:noProof/>
          </w:rPr>
          <mc:AlternateContent>
            <mc:Choice Requires="wps">
              <w:drawing>
                <wp:anchor distT="0" distB="0" distL="114300" distR="114300" simplePos="0" relativeHeight="251694080" behindDoc="0" locked="0" layoutInCell="1" allowOverlap="1" wp14:anchorId="0CD51B9F" wp14:editId="4DE90563">
                  <wp:simplePos x="0" y="0"/>
                  <wp:positionH relativeFrom="margin">
                    <wp:posOffset>2130425</wp:posOffset>
                  </wp:positionH>
                  <wp:positionV relativeFrom="paragraph">
                    <wp:posOffset>-3578555</wp:posOffset>
                  </wp:positionV>
                  <wp:extent cx="3359889" cy="1745673"/>
                  <wp:effectExtent l="0" t="0" r="0" b="6985"/>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889" cy="1745673"/>
                          </a:xfrm>
                          <a:prstGeom prst="rect">
                            <a:avLst/>
                          </a:prstGeom>
                          <a:solidFill>
                            <a:srgbClr val="FFFFFF"/>
                          </a:solidFill>
                          <a:ln w="9525">
                            <a:noFill/>
                            <a:miter lim="800000"/>
                            <a:headEnd/>
                            <a:tailEnd/>
                          </a:ln>
                        </wps:spPr>
                        <wps:txbx>
                          <w:txbxContent>
                            <w:p w14:paraId="2CFA1FEE" w14:textId="334E56EB" w:rsidR="00F82603" w:rsidRPr="00166780" w:rsidRDefault="00974F44" w:rsidP="00974F44">
                              <w:pPr>
                                <w:spacing w:before="120" w:after="0"/>
                                <w:jc w:val="left"/>
                                <w:rPr>
                                  <w:rFonts w:ascii="Raleway SemiBold" w:hAnsi="Raleway SemiBold"/>
                                  <w:color w:val="324D72"/>
                                  <w:sz w:val="48"/>
                                  <w:szCs w:val="48"/>
                                  <w:lang w:val="fr-FR"/>
                                </w:rPr>
                              </w:pPr>
                              <w:r>
                                <w:rPr>
                                  <w:rFonts w:ascii="Raleway SemiBold" w:hAnsi="Raleway SemiBold"/>
                                  <w:color w:val="324D72"/>
                                  <w:sz w:val="48"/>
                                  <w:szCs w:val="48"/>
                                </w:rPr>
                                <w:t>LES CARACTÉRISTIQUES DES AÎN</w:t>
                              </w:r>
                              <w:r w:rsidR="00F76B45">
                                <w:rPr>
                                  <w:rFonts w:ascii="Raleway SemiBold" w:hAnsi="Raleway SemiBold"/>
                                  <w:color w:val="324D72"/>
                                  <w:sz w:val="48"/>
                                  <w:szCs w:val="48"/>
                                </w:rPr>
                                <w:t>É</w:t>
                              </w:r>
                              <w:r>
                                <w:rPr>
                                  <w:rFonts w:ascii="Raleway SemiBold" w:hAnsi="Raleway SemiBold"/>
                                  <w:color w:val="324D72"/>
                                  <w:sz w:val="48"/>
                                  <w:szCs w:val="48"/>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D51B9F" id="_x0000_t202" coordsize="21600,21600" o:spt="202" path="m,l,21600r21600,l21600,xe">
                  <v:stroke joinstyle="miter"/>
                  <v:path gradientshapeok="t" o:connecttype="rect"/>
                </v:shapetype>
                <v:shape id="_x0000_s1035" type="#_x0000_t202" style="position:absolute;left:0;text-align:left;margin-left:167.75pt;margin-top:-281.8pt;width:264.55pt;height:137.4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" stroked="f">
                  <v:textbox>
                    <w:txbxContent>
                      <w:p w14:paraId="2CFA1FEE" w14:textId="334E56EB" w:rsidR="00F82603" w:rsidRPr="00166780" w:rsidRDefault="00974F44" w:rsidP="00974F44">
                        <w:pPr>
                          <w:spacing w:before="120" w:after="0"/>
                          <w:jc w:val="left"/>
                          <w:rPr>
                            <w:rFonts w:ascii="Raleway SemiBold" w:hAnsi="Raleway SemiBold"/>
                            <w:color w:val="324D72"/>
                            <w:sz w:val="48"/>
                            <w:szCs w:val="48"/>
                            <w:lang w:val="fr-FR"/>
                          </w:rPr>
                        </w:pPr>
                        <w:r>
                          <w:rPr>
                            <w:rFonts w:ascii="Raleway SemiBold" w:hAnsi="Raleway SemiBold"/>
                            <w:color w:val="324D72"/>
                            <w:sz w:val="48"/>
                            <w:szCs w:val="48"/>
                          </w:rPr>
                          <w:t>LES CARACTÉRISTIQUES DES AÎN</w:t>
                        </w:r>
                        <w:r w:rsidR="00F76B45">
                          <w:rPr>
                            <w:rFonts w:ascii="Raleway SemiBold" w:hAnsi="Raleway SemiBold"/>
                            <w:color w:val="324D72"/>
                            <w:sz w:val="48"/>
                            <w:szCs w:val="48"/>
                          </w:rPr>
                          <w:t>É</w:t>
                        </w:r>
                        <w:r>
                          <w:rPr>
                            <w:rFonts w:ascii="Raleway SemiBold" w:hAnsi="Raleway SemiBold"/>
                            <w:color w:val="324D72"/>
                            <w:sz w:val="48"/>
                            <w:szCs w:val="48"/>
                          </w:rPr>
                          <w:t>S</w:t>
                        </w:r>
                      </w:p>
                    </w:txbxContent>
                  </v:textbox>
                  <w10:wrap anchorx="margin"/>
                </v:shape>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18B97" w14:textId="67FBEF15" w:rsidR="00F82603" w:rsidRPr="006D13D1" w:rsidRDefault="00F82603" w:rsidP="001A1BF0">
    <w:pPr>
      <w:pStyle w:val="Style1"/>
    </w:pPr>
    <w:r w:rsidRPr="00BE4B0F">
      <mc:AlternateContent>
        <mc:Choice Requires="wps">
          <w:drawing>
            <wp:anchor distT="0" distB="0" distL="114300" distR="114300" simplePos="0" relativeHeight="251685888" behindDoc="0" locked="0" layoutInCell="1" allowOverlap="1" wp14:anchorId="0B264B86" wp14:editId="1A5BBCE4">
              <wp:simplePos x="0" y="0"/>
              <wp:positionH relativeFrom="column">
                <wp:posOffset>5966778</wp:posOffset>
              </wp:positionH>
              <wp:positionV relativeFrom="paragraph">
                <wp:posOffset>25082</wp:posOffset>
              </wp:positionV>
              <wp:extent cx="1341316" cy="1329446"/>
              <wp:effectExtent l="285432" t="286068" r="239713" b="277812"/>
              <wp:wrapNone/>
              <wp:docPr id="13" name="Rectangle 13"/>
              <wp:cNvGraphicFramePr/>
              <a:graphic xmlns:a="http://schemas.openxmlformats.org/drawingml/2006/main">
                <a:graphicData uri="http://schemas.microsoft.com/office/word/2010/wordprocessingShape">
                  <wps:wsp>
                    <wps:cNvSpPr/>
                    <wps:spPr>
                      <a:xfrm rot="2700000">
                        <a:off x="0" y="0"/>
                        <a:ext cx="1341316" cy="1329446"/>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851A1" id="Rectangle 13" o:spid="_x0000_s1026" style="position:absolute;margin-left:469.85pt;margin-top:1.95pt;width:105.6pt;height:104.7pt;rotation:45;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" fillcolor="#25acc1" stroked="f" strokeweight="1pt"/>
          </w:pict>
        </mc:Fallback>
      </mc:AlternateContent>
    </w:r>
    <w:sdt>
      <w:sdtPr>
        <w:id w:val="-1882939914"/>
        <w:docPartObj>
          <w:docPartGallery w:val="Page Numbers (Bottom of Page)"/>
          <w:docPartUnique/>
        </w:docPartObj>
      </w:sdtPr>
      <w:sdtEndP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4774335"/>
      <w:docPartObj>
        <w:docPartGallery w:val="Page Numbers (Bottom of Page)"/>
        <w:docPartUnique/>
      </w:docPartObj>
    </w:sdtPr>
    <w:sdtEndPr/>
    <w:sdtContent>
      <w:p w14:paraId="71D08258" w14:textId="6B2882D5" w:rsidR="00F82603" w:rsidRPr="00513138" w:rsidRDefault="00F82603" w:rsidP="00E54490">
        <w:pPr>
          <w:pStyle w:val="Pieddepage"/>
        </w:pPr>
        <w:r>
          <w:rPr>
            <w:noProof/>
          </w:rPr>
          <mc:AlternateContent>
            <mc:Choice Requires="wps">
              <w:drawing>
                <wp:anchor distT="0" distB="0" distL="114300" distR="114300" simplePos="0" relativeHeight="251665408" behindDoc="0" locked="0" layoutInCell="1" allowOverlap="1" wp14:anchorId="50396056" wp14:editId="2A75806E">
                  <wp:simplePos x="0" y="0"/>
                  <wp:positionH relativeFrom="column">
                    <wp:posOffset>6116955</wp:posOffset>
                  </wp:positionH>
                  <wp:positionV relativeFrom="paragraph">
                    <wp:posOffset>-102870</wp:posOffset>
                  </wp:positionV>
                  <wp:extent cx="619125" cy="466725"/>
                  <wp:effectExtent l="0" t="0" r="9525" b="9525"/>
                  <wp:wrapNone/>
                  <wp:docPr id="17" name="Triangle isocèle 17"/>
                  <wp:cNvGraphicFramePr/>
                  <a:graphic xmlns:a="http://schemas.openxmlformats.org/drawingml/2006/main">
                    <a:graphicData uri="http://schemas.microsoft.com/office/word/2010/wordprocessingShape">
                      <wps:wsp>
                        <wps:cNvSpPr/>
                        <wps:spPr>
                          <a:xfrm rot="16200000">
                            <a:off x="0" y="0"/>
                            <a:ext cx="619125" cy="466725"/>
                          </a:xfrm>
                          <a:prstGeom prst="triangle">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B8D095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7" o:spid="_x0000_s1026" type="#_x0000_t5" style="position:absolute;margin-left:481.65pt;margin-top:-8.1pt;width:48.75pt;height:36.75pt;rotation:-9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" fillcolor="#25acc1" stroked="f" strokeweight="1pt"/>
              </w:pict>
            </mc:Fallback>
          </mc:AlternateContent>
        </w:r>
        <w:r w:rsidRPr="00513138">
          <w:fldChar w:fldCharType="begin"/>
        </w:r>
        <w:r w:rsidRPr="00513138">
          <w:instrText>PAGE   \* MERGEFORMAT</w:instrText>
        </w:r>
        <w:r w:rsidRPr="00513138">
          <w:fldChar w:fldCharType="separate"/>
        </w:r>
        <w:r w:rsidRPr="00513138">
          <w:rPr>
            <w:lang w:val="fr-FR"/>
          </w:rPr>
          <w:t>2</w:t>
        </w:r>
        <w:r w:rsidRPr="00513138">
          <w:fldChar w:fldCharType="end"/>
        </w:r>
      </w:p>
    </w:sdtContent>
  </w:sdt>
  <w:p w14:paraId="799346E3" w14:textId="0715D211" w:rsidR="00F82603" w:rsidRDefault="00F82603" w:rsidP="00E54490">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6807996"/>
      <w:docPartObj>
        <w:docPartGallery w:val="Page Numbers (Bottom of Page)"/>
        <w:docPartUnique/>
      </w:docPartObj>
    </w:sdtPr>
    <w:sdtContent>
      <w:p w14:paraId="6D0C0848" w14:textId="77777777" w:rsidR="002E3537" w:rsidRDefault="002E3537" w:rsidP="00172882">
        <w:pPr>
          <w:pStyle w:val="Style1"/>
          <w:jc w:val="right"/>
        </w:pPr>
        <w:r w:rsidRPr="001A1BF0">
          <mc:AlternateContent>
            <mc:Choice Requires="wps">
              <w:drawing>
                <wp:anchor distT="0" distB="0" distL="114300" distR="114300" simplePos="0" relativeHeight="251715584" behindDoc="0" locked="0" layoutInCell="1" allowOverlap="1" wp14:anchorId="01A6A972" wp14:editId="71BF347B">
                  <wp:simplePos x="0" y="0"/>
                  <wp:positionH relativeFrom="column">
                    <wp:posOffset>-123825</wp:posOffset>
                  </wp:positionH>
                  <wp:positionV relativeFrom="paragraph">
                    <wp:posOffset>304164</wp:posOffset>
                  </wp:positionV>
                  <wp:extent cx="1280765" cy="1280765"/>
                  <wp:effectExtent l="266700" t="266700" r="205740" b="269240"/>
                  <wp:wrapNone/>
                  <wp:docPr id="12" name="Rectangle 12"/>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65C47" id="Rectangle 12" o:spid="_x0000_s1026" style="position:absolute;margin-left:-9.75pt;margin-top:23.95pt;width:100.85pt;height:100.85pt;rotation:45;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" fillcolor="#25acc1" stroked="f" strokeweight="1pt"/>
              </w:pict>
            </mc:Fallback>
          </mc:AlternateContent>
        </w:r>
        <w:r w:rsidRPr="001A1BF0">
          <w:fldChar w:fldCharType="begin"/>
        </w:r>
        <w:r w:rsidRPr="001A1BF0">
          <w:instrText>PAGE   \* MERGEFORMAT</w:instrText>
        </w:r>
        <w:r w:rsidRPr="001A1BF0">
          <w:fldChar w:fldCharType="separate"/>
        </w:r>
        <w:r w:rsidRPr="001A1BF0">
          <w:rPr>
            <w:lang w:val="fr-FR"/>
          </w:rPr>
          <w:t>2</w:t>
        </w:r>
        <w:r w:rsidRPr="001A1BF0">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0810560"/>
      <w:docPartObj>
        <w:docPartGallery w:val="Page Numbers (Bottom of Page)"/>
        <w:docPartUnique/>
      </w:docPartObj>
    </w:sdtPr>
    <w:sdtEndPr/>
    <w:sdtContent>
      <w:p w14:paraId="715FBAC3" w14:textId="106B25F3" w:rsidR="00F82603" w:rsidRPr="00451A00" w:rsidRDefault="0046645B" w:rsidP="0046645B">
        <w:pPr>
          <w:pStyle w:val="Style1"/>
          <w:jc w:val="left"/>
        </w:pPr>
        <w:r w:rsidRPr="001A1BF0">
          <mc:AlternateContent>
            <mc:Choice Requires="wps">
              <w:drawing>
                <wp:anchor distT="0" distB="0" distL="114300" distR="114300" simplePos="0" relativeHeight="251707392" behindDoc="0" locked="0" layoutInCell="1" allowOverlap="1" wp14:anchorId="2251ECD1" wp14:editId="5DB5588A">
                  <wp:simplePos x="0" y="0"/>
                  <wp:positionH relativeFrom="column">
                    <wp:posOffset>5933759</wp:posOffset>
                  </wp:positionH>
                  <wp:positionV relativeFrom="paragraph">
                    <wp:posOffset>66040</wp:posOffset>
                  </wp:positionV>
                  <wp:extent cx="1487511" cy="1352484"/>
                  <wp:effectExtent l="334327" t="275273" r="256858" b="275907"/>
                  <wp:wrapNone/>
                  <wp:docPr id="15" name="Rectangle 15"/>
                  <wp:cNvGraphicFramePr/>
                  <a:graphic xmlns:a="http://schemas.openxmlformats.org/drawingml/2006/main">
                    <a:graphicData uri="http://schemas.microsoft.com/office/word/2010/wordprocessingShape">
                      <wps:wsp>
                        <wps:cNvSpPr/>
                        <wps:spPr>
                          <a:xfrm rot="2700000">
                            <a:off x="0" y="0"/>
                            <a:ext cx="1487511" cy="1352484"/>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650FB" id="Rectangle 15" o:spid="_x0000_s1026" style="position:absolute;margin-left:467.25pt;margin-top:5.2pt;width:117.15pt;height:106.5pt;rotation:45;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" fillcolor="#25acc1" stroked="f" strokeweight="1pt"/>
              </w:pict>
            </mc:Fallback>
          </mc:AlternateContent>
        </w:r>
        <w:r w:rsidRPr="001A1BF0">
          <w:fldChar w:fldCharType="begin"/>
        </w:r>
        <w:r w:rsidRPr="001A1BF0">
          <w:instrText>PAGE   \* MERGEFORMAT</w:instrText>
        </w:r>
        <w:r w:rsidRPr="001A1BF0">
          <w:fldChar w:fldCharType="separate"/>
        </w:r>
        <w:r>
          <w:t>4</w:t>
        </w:r>
        <w:r w:rsidRPr="001A1BF0">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7871676"/>
      <w:docPartObj>
        <w:docPartGallery w:val="Page Numbers (Bottom of Page)"/>
        <w:docPartUnique/>
      </w:docPartObj>
    </w:sdtPr>
    <w:sdtContent>
      <w:p w14:paraId="66CB5BC1" w14:textId="77777777" w:rsidR="002E3537" w:rsidRDefault="002E3537" w:rsidP="00172882">
        <w:pPr>
          <w:pStyle w:val="Style1"/>
          <w:jc w:val="right"/>
        </w:pPr>
        <w:r w:rsidRPr="001A1BF0">
          <mc:AlternateContent>
            <mc:Choice Requires="wps">
              <w:drawing>
                <wp:anchor distT="0" distB="0" distL="114300" distR="114300" simplePos="0" relativeHeight="251717632" behindDoc="0" locked="0" layoutInCell="1" allowOverlap="1" wp14:anchorId="228BF95F" wp14:editId="6EEA6775">
                  <wp:simplePos x="0" y="0"/>
                  <wp:positionH relativeFrom="column">
                    <wp:posOffset>-123825</wp:posOffset>
                  </wp:positionH>
                  <wp:positionV relativeFrom="paragraph">
                    <wp:posOffset>304164</wp:posOffset>
                  </wp:positionV>
                  <wp:extent cx="1280765" cy="1280765"/>
                  <wp:effectExtent l="266700" t="266700" r="205740" b="269240"/>
                  <wp:wrapNone/>
                  <wp:docPr id="33" name="Rectangle 33"/>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46C7C" id="Rectangle 33" o:spid="_x0000_s1026" style="position:absolute;margin-left:-9.75pt;margin-top:23.95pt;width:100.85pt;height:100.85pt;rotation:45;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" fillcolor="#25acc1" stroked="f" strokeweight="1pt"/>
              </w:pict>
            </mc:Fallback>
          </mc:AlternateContent>
        </w:r>
        <w:r w:rsidRPr="001A1BF0">
          <w:fldChar w:fldCharType="begin"/>
        </w:r>
        <w:r w:rsidRPr="001A1BF0">
          <w:instrText>PAGE   \* MERGEFORMAT</w:instrText>
        </w:r>
        <w:r w:rsidRPr="001A1BF0">
          <w:fldChar w:fldCharType="separate"/>
        </w:r>
        <w:r w:rsidRPr="001A1BF0">
          <w:rPr>
            <w:lang w:val="fr-FR"/>
          </w:rPr>
          <w:t>2</w:t>
        </w:r>
        <w:r w:rsidRPr="001A1BF0">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9312954"/>
      <w:docPartObj>
        <w:docPartGallery w:val="Page Numbers (Bottom of Page)"/>
        <w:docPartUnique/>
      </w:docPartObj>
    </w:sdtPr>
    <w:sdtEndPr/>
    <w:sdtContent>
      <w:p w14:paraId="0A758736" w14:textId="03878DA7" w:rsidR="004A63B7" w:rsidRPr="00451A00" w:rsidRDefault="004A63B7" w:rsidP="0046645B">
        <w:pPr>
          <w:pStyle w:val="Style1"/>
          <w:jc w:val="left"/>
        </w:pPr>
        <w:r>
          <w:drawing>
            <wp:anchor distT="0" distB="0" distL="114300" distR="114300" simplePos="0" relativeHeight="251713536" behindDoc="1" locked="0" layoutInCell="1" allowOverlap="1" wp14:anchorId="5AED295A" wp14:editId="376F9FE9">
              <wp:simplePos x="0" y="0"/>
              <wp:positionH relativeFrom="margin">
                <wp:posOffset>-293370</wp:posOffset>
              </wp:positionH>
              <wp:positionV relativeFrom="paragraph">
                <wp:posOffset>-2093595</wp:posOffset>
              </wp:positionV>
              <wp:extent cx="4097655" cy="1824355"/>
              <wp:effectExtent l="0" t="0" r="0" b="4445"/>
              <wp:wrapThrough wrapText="bothSides">
                <wp:wrapPolygon edited="0">
                  <wp:start x="0" y="0"/>
                  <wp:lineTo x="0" y="21427"/>
                  <wp:lineTo x="21490" y="21427"/>
                  <wp:lineTo x="21490" y="0"/>
                  <wp:lineTo x="0" y="0"/>
                </wp:wrapPolygon>
              </wp:wrapThrough>
              <wp:docPr id="21" name="Image 2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7655" cy="1824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1BF0">
          <mc:AlternateContent>
            <mc:Choice Requires="wps">
              <w:drawing>
                <wp:anchor distT="0" distB="0" distL="114300" distR="114300" simplePos="0" relativeHeight="251711488" behindDoc="0" locked="0" layoutInCell="1" allowOverlap="1" wp14:anchorId="59D0D8CA" wp14:editId="3080B92A">
                  <wp:simplePos x="0" y="0"/>
                  <wp:positionH relativeFrom="column">
                    <wp:posOffset>5933759</wp:posOffset>
                  </wp:positionH>
                  <wp:positionV relativeFrom="paragraph">
                    <wp:posOffset>66040</wp:posOffset>
                  </wp:positionV>
                  <wp:extent cx="1487511" cy="1352484"/>
                  <wp:effectExtent l="334327" t="275273" r="256858" b="275907"/>
                  <wp:wrapNone/>
                  <wp:docPr id="5" name="Rectangle 5"/>
                  <wp:cNvGraphicFramePr/>
                  <a:graphic xmlns:a="http://schemas.openxmlformats.org/drawingml/2006/main">
                    <a:graphicData uri="http://schemas.microsoft.com/office/word/2010/wordprocessingShape">
                      <wps:wsp>
                        <wps:cNvSpPr/>
                        <wps:spPr>
                          <a:xfrm rot="2700000">
                            <a:off x="0" y="0"/>
                            <a:ext cx="1487511" cy="1352484"/>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302CD" id="Rectangle 5" o:spid="_x0000_s1026" style="position:absolute;margin-left:467.25pt;margin-top:5.2pt;width:117.15pt;height:106.5pt;rotation:45;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" fillcolor="#25acc1" stroked="f" strokeweight="1p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F4740" w14:textId="77777777" w:rsidR="00E21199" w:rsidRDefault="00E21199" w:rsidP="00E54490">
      <w:r>
        <w:separator/>
      </w:r>
    </w:p>
  </w:footnote>
  <w:footnote w:type="continuationSeparator" w:id="0">
    <w:p w14:paraId="14C77BDB" w14:textId="77777777" w:rsidR="00E21199" w:rsidRDefault="00E21199" w:rsidP="00E54490">
      <w:r>
        <w:continuationSeparator/>
      </w:r>
    </w:p>
    <w:p w14:paraId="43E73CE0" w14:textId="77777777" w:rsidR="00E21199" w:rsidRDefault="00E21199"/>
  </w:footnote>
  <w:footnote w:id="1">
    <w:p w14:paraId="7C44F997" w14:textId="1BC24FFA" w:rsidR="00464307" w:rsidRPr="0034450C" w:rsidRDefault="00464307" w:rsidP="0034450C">
      <w:pPr>
        <w:pStyle w:val="Notedebasdepage"/>
        <w:spacing w:after="120"/>
        <w:rPr>
          <w:rFonts w:ascii="Arial" w:hAnsi="Arial" w:cs="Arial"/>
          <w:sz w:val="18"/>
          <w:szCs w:val="18"/>
        </w:rPr>
      </w:pPr>
      <w:r w:rsidRPr="0034450C">
        <w:rPr>
          <w:rStyle w:val="Appelnotedebasdep"/>
          <w:rFonts w:ascii="Arial" w:hAnsi="Arial" w:cs="Arial"/>
          <w:sz w:val="18"/>
          <w:szCs w:val="18"/>
        </w:rPr>
        <w:footnoteRef/>
      </w:r>
      <w:r w:rsidRPr="0034450C">
        <w:rPr>
          <w:rFonts w:ascii="Arial" w:hAnsi="Arial" w:cs="Arial"/>
          <w:sz w:val="18"/>
          <w:szCs w:val="18"/>
        </w:rPr>
        <w:t xml:space="preserve"> Pour l’Organisation mondiale de la </w:t>
      </w:r>
      <w:r w:rsidR="00AE1E9D">
        <w:rPr>
          <w:rFonts w:ascii="Arial" w:hAnsi="Arial" w:cs="Arial"/>
          <w:sz w:val="18"/>
          <w:szCs w:val="18"/>
        </w:rPr>
        <w:t>S</w:t>
      </w:r>
      <w:r w:rsidRPr="0034450C">
        <w:rPr>
          <w:rFonts w:ascii="Arial" w:hAnsi="Arial" w:cs="Arial"/>
          <w:sz w:val="18"/>
          <w:szCs w:val="18"/>
        </w:rPr>
        <w:t>anté (OMS), c’est l’âge de 60 ans qui est considéré comme le marqueur d’une transition vers le vieillissement. D’un point de vue international, tous les pays ne présentent pas un vieillissement accentué ou accéléré de leur population.</w:t>
      </w:r>
    </w:p>
  </w:footnote>
  <w:footnote w:id="2">
    <w:p w14:paraId="36CB6430" w14:textId="77777777" w:rsidR="00464307" w:rsidRDefault="00464307" w:rsidP="00464307">
      <w:pPr>
        <w:pStyle w:val="Notedebasdepage"/>
      </w:pPr>
      <w:r w:rsidRPr="0034450C">
        <w:rPr>
          <w:rStyle w:val="Appelnotedebasdep"/>
          <w:rFonts w:ascii="Arial" w:hAnsi="Arial" w:cs="Arial"/>
          <w:sz w:val="18"/>
          <w:szCs w:val="18"/>
        </w:rPr>
        <w:footnoteRef/>
      </w:r>
      <w:r w:rsidRPr="0034450C">
        <w:rPr>
          <w:rFonts w:ascii="Arial" w:hAnsi="Arial" w:cs="Arial"/>
          <w:sz w:val="18"/>
          <w:szCs w:val="18"/>
        </w:rPr>
        <w:t xml:space="preserve"> Garon, et autres, </w:t>
      </w:r>
      <w:r w:rsidRPr="0034450C">
        <w:rPr>
          <w:rFonts w:ascii="Arial" w:hAnsi="Arial" w:cs="Arial"/>
          <w:i/>
          <w:iCs/>
          <w:sz w:val="18"/>
          <w:szCs w:val="18"/>
        </w:rPr>
        <w:t>Guide d’accompagnement pour la réalisation de la démarche Municipalité amie des aînés – 2</w:t>
      </w:r>
      <w:r w:rsidRPr="0034450C">
        <w:rPr>
          <w:rFonts w:ascii="Arial" w:hAnsi="Arial" w:cs="Arial"/>
          <w:i/>
          <w:iCs/>
          <w:sz w:val="18"/>
          <w:szCs w:val="18"/>
          <w:vertAlign w:val="superscript"/>
        </w:rPr>
        <w:t>e</w:t>
      </w:r>
      <w:r w:rsidRPr="0034450C">
        <w:rPr>
          <w:rFonts w:ascii="Arial" w:hAnsi="Arial" w:cs="Arial"/>
          <w:i/>
          <w:iCs/>
          <w:sz w:val="18"/>
          <w:szCs w:val="18"/>
        </w:rPr>
        <w:t xml:space="preserve"> édition,</w:t>
      </w:r>
      <w:r w:rsidRPr="0034450C">
        <w:rPr>
          <w:rFonts w:ascii="Arial" w:hAnsi="Arial" w:cs="Arial"/>
          <w:sz w:val="18"/>
          <w:szCs w:val="18"/>
        </w:rPr>
        <w:t xml:space="preserve"> Secrétariat aux aînés du ministère de la Santé et des Services sociaux, Gouvernement du Québec, 2020</w:t>
      </w:r>
      <w:r w:rsidRPr="003D533F">
        <w:rPr>
          <w:rFonts w:ascii="Times New Roman" w:hAnsi="Times New Roman" w:cs="Times New Roman"/>
          <w:sz w:val="22"/>
          <w:szCs w:val="22"/>
        </w:rPr>
        <w:t>.</w:t>
      </w:r>
    </w:p>
  </w:footnote>
  <w:footnote w:id="3">
    <w:p w14:paraId="4A442329" w14:textId="77777777" w:rsidR="0034450C" w:rsidRPr="0034450C" w:rsidRDefault="0034450C" w:rsidP="0034450C">
      <w:pPr>
        <w:pStyle w:val="Notedebasdepage"/>
        <w:rPr>
          <w:rFonts w:ascii="Arial" w:hAnsi="Arial" w:cs="Arial"/>
          <w:sz w:val="18"/>
          <w:szCs w:val="18"/>
        </w:rPr>
      </w:pPr>
      <w:r w:rsidRPr="0034450C">
        <w:rPr>
          <w:rStyle w:val="Appelnotedebasdep"/>
          <w:rFonts w:ascii="Arial" w:hAnsi="Arial" w:cs="Arial"/>
          <w:sz w:val="18"/>
          <w:szCs w:val="18"/>
        </w:rPr>
        <w:footnoteRef/>
      </w:r>
      <w:r w:rsidRPr="0034450C">
        <w:rPr>
          <w:rFonts w:ascii="Arial" w:hAnsi="Arial" w:cs="Arial"/>
          <w:sz w:val="18"/>
          <w:szCs w:val="18"/>
        </w:rPr>
        <w:t xml:space="preserve"> Institut de la statistique du Québec</w:t>
      </w:r>
      <w:r w:rsidRPr="0034450C">
        <w:rPr>
          <w:rFonts w:ascii="Arial" w:hAnsi="Arial" w:cs="Arial"/>
          <w:color w:val="000000"/>
          <w:sz w:val="18"/>
          <w:szCs w:val="18"/>
        </w:rPr>
        <w:t xml:space="preserve">, </w:t>
      </w:r>
      <w:r w:rsidRPr="0034450C">
        <w:rPr>
          <w:rFonts w:ascii="Arial" w:hAnsi="Arial" w:cs="Arial"/>
          <w:i/>
          <w:iCs/>
          <w:color w:val="000000"/>
          <w:sz w:val="18"/>
          <w:szCs w:val="18"/>
        </w:rPr>
        <w:t xml:space="preserve">Perspectives démographiques du Québec et des régions, 2016-2066 : édition 2019, </w:t>
      </w:r>
      <w:r w:rsidRPr="0034450C">
        <w:rPr>
          <w:rFonts w:ascii="Arial" w:hAnsi="Arial" w:cs="Arial"/>
          <w:color w:val="000000"/>
          <w:sz w:val="18"/>
          <w:szCs w:val="18"/>
        </w:rPr>
        <w:t>[En ligne], Québec, L’Institut, 2019, 85 p. [</w:t>
      </w:r>
      <w:r w:rsidRPr="0034450C">
        <w:rPr>
          <w:rFonts w:ascii="Arial" w:hAnsi="Arial" w:cs="Arial"/>
          <w:color w:val="25ACC1"/>
          <w:sz w:val="18"/>
          <w:szCs w:val="18"/>
        </w:rPr>
        <w:t>https://statistique.quebec.ca/fr/fichier/perspectives-demographiques-du-quebec-et-des-regions-2016-2066-edition-2019.pdf</w:t>
      </w:r>
      <w:r w:rsidRPr="0034450C">
        <w:rPr>
          <w:rFonts w:ascii="Arial" w:hAnsi="Arial" w:cs="Arial"/>
          <w:color w:val="000000"/>
          <w:sz w:val="18"/>
          <w:szCs w:val="18"/>
        </w:rPr>
        <w:t>].</w:t>
      </w:r>
    </w:p>
  </w:footnote>
  <w:footnote w:id="4">
    <w:p w14:paraId="3305C71E" w14:textId="77777777" w:rsidR="0034450C" w:rsidRPr="008F5EC5" w:rsidRDefault="0034450C" w:rsidP="0026510B">
      <w:pPr>
        <w:pStyle w:val="Notedebasdepage"/>
        <w:spacing w:after="120"/>
        <w:rPr>
          <w:rFonts w:ascii="Arial" w:hAnsi="Arial" w:cs="Arial"/>
          <w:sz w:val="18"/>
          <w:szCs w:val="18"/>
        </w:rPr>
      </w:pPr>
      <w:r w:rsidRPr="008F5EC5">
        <w:rPr>
          <w:rStyle w:val="Appelnotedebasdep"/>
          <w:rFonts w:ascii="Arial" w:hAnsi="Arial" w:cs="Arial"/>
          <w:sz w:val="18"/>
          <w:szCs w:val="18"/>
        </w:rPr>
        <w:footnoteRef/>
      </w:r>
      <w:r w:rsidRPr="008F5EC5">
        <w:rPr>
          <w:rFonts w:ascii="Arial" w:hAnsi="Arial" w:cs="Arial"/>
          <w:sz w:val="18"/>
          <w:szCs w:val="18"/>
        </w:rPr>
        <w:t xml:space="preserve"> Institut de la statistique du Québec, </w:t>
      </w:r>
      <w:r w:rsidRPr="008F5EC5">
        <w:rPr>
          <w:rFonts w:ascii="Arial" w:hAnsi="Arial" w:cs="Arial"/>
          <w:i/>
          <w:iCs/>
          <w:sz w:val="18"/>
          <w:szCs w:val="18"/>
        </w:rPr>
        <w:t>Espérance de vie à la naissance et à 65 ans selon le sexe, Québec, 1975-1977 à 2018,</w:t>
      </w:r>
      <w:r w:rsidRPr="008F5EC5">
        <w:rPr>
          <w:rFonts w:ascii="Arial" w:hAnsi="Arial" w:cs="Arial"/>
          <w:sz w:val="18"/>
          <w:szCs w:val="18"/>
        </w:rPr>
        <w:t xml:space="preserve"> Tableau statistique, 2019. Repéré à : </w:t>
      </w:r>
      <w:hyperlink r:id="rId1" w:history="1">
        <w:r w:rsidRPr="00BE1656">
          <w:rPr>
            <w:rFonts w:ascii="Arial" w:hAnsi="Arial" w:cs="Arial"/>
            <w:color w:val="25ACC1"/>
            <w:sz w:val="18"/>
            <w:szCs w:val="18"/>
            <w:u w:val="single"/>
          </w:rPr>
          <w:t>https://www.stat.gouv.qc.ca/statistiques/population-demographie/deces-mortalite/4p1.htm</w:t>
        </w:r>
      </w:hyperlink>
      <w:r w:rsidRPr="00BE1656">
        <w:rPr>
          <w:rFonts w:ascii="Arial" w:hAnsi="Arial" w:cs="Arial"/>
          <w:color w:val="25ACC1"/>
          <w:sz w:val="18"/>
          <w:szCs w:val="18"/>
          <w:u w:val="single"/>
        </w:rPr>
        <w:t>.</w:t>
      </w:r>
    </w:p>
  </w:footnote>
  <w:footnote w:id="5">
    <w:p w14:paraId="7FB4A0F6" w14:textId="77777777" w:rsidR="0034450C" w:rsidRPr="008F5EC5" w:rsidRDefault="0034450C" w:rsidP="0026510B">
      <w:pPr>
        <w:pStyle w:val="Notedebasdepage"/>
        <w:spacing w:after="120" w:line="276" w:lineRule="auto"/>
        <w:rPr>
          <w:rFonts w:ascii="Arial" w:hAnsi="Arial" w:cs="Arial"/>
          <w:sz w:val="18"/>
          <w:szCs w:val="18"/>
        </w:rPr>
      </w:pPr>
      <w:r w:rsidRPr="008F5EC5">
        <w:rPr>
          <w:rStyle w:val="Appelnotedebasdep"/>
          <w:rFonts w:ascii="Arial" w:hAnsi="Arial" w:cs="Arial"/>
          <w:sz w:val="18"/>
          <w:szCs w:val="18"/>
        </w:rPr>
        <w:footnoteRef/>
      </w:r>
      <w:r w:rsidRPr="008F5EC5">
        <w:rPr>
          <w:rFonts w:ascii="Arial" w:hAnsi="Arial" w:cs="Arial"/>
          <w:sz w:val="18"/>
          <w:szCs w:val="18"/>
        </w:rPr>
        <w:t xml:space="preserve"> Voir à ce sujet le </w:t>
      </w:r>
      <w:r w:rsidRPr="008F5EC5">
        <w:rPr>
          <w:rFonts w:ascii="Arial" w:hAnsi="Arial" w:cs="Arial"/>
          <w:i/>
          <w:iCs/>
          <w:sz w:val="18"/>
          <w:szCs w:val="18"/>
        </w:rPr>
        <w:t>Guide pratique pour un commerce ami des aînés</w:t>
      </w:r>
      <w:r w:rsidRPr="008F5EC5">
        <w:rPr>
          <w:rFonts w:ascii="Arial" w:hAnsi="Arial" w:cs="Arial"/>
          <w:sz w:val="18"/>
          <w:szCs w:val="18"/>
        </w:rPr>
        <w:t xml:space="preserve"> (à paraître).</w:t>
      </w:r>
    </w:p>
  </w:footnote>
  <w:footnote w:id="6">
    <w:p w14:paraId="4F90001E" w14:textId="77777777" w:rsidR="0034450C" w:rsidRPr="008F5EC5" w:rsidRDefault="0034450C" w:rsidP="0026510B">
      <w:pPr>
        <w:pStyle w:val="Titre3"/>
        <w:shd w:val="clear" w:color="auto" w:fill="FFFFFF"/>
        <w:spacing w:after="120"/>
        <w:jc w:val="both"/>
        <w:rPr>
          <w:rFonts w:ascii="Arial" w:hAnsi="Arial" w:cs="Arial"/>
          <w:sz w:val="18"/>
          <w:szCs w:val="18"/>
        </w:rPr>
      </w:pPr>
      <w:r w:rsidRPr="008F5EC5">
        <w:rPr>
          <w:rStyle w:val="Appelnotedebasdep"/>
          <w:rFonts w:ascii="Arial" w:hAnsi="Arial" w:cs="Arial"/>
          <w:b w:val="0"/>
          <w:color w:val="auto"/>
          <w:sz w:val="18"/>
          <w:szCs w:val="18"/>
        </w:rPr>
        <w:footnoteRef/>
      </w:r>
      <w:bookmarkStart w:id="4" w:name="_Hlk37160011"/>
      <w:r w:rsidRPr="008F5EC5">
        <w:rPr>
          <w:rFonts w:ascii="Arial" w:hAnsi="Arial" w:cs="Arial"/>
          <w:b w:val="0"/>
          <w:color w:val="000000"/>
          <w:sz w:val="18"/>
          <w:szCs w:val="18"/>
        </w:rPr>
        <w:t xml:space="preserve"> Lord, S. et D. Piché (dir.), </w:t>
      </w:r>
      <w:r w:rsidRPr="008F5EC5">
        <w:rPr>
          <w:rFonts w:ascii="Arial" w:hAnsi="Arial" w:cs="Arial"/>
          <w:b w:val="0"/>
          <w:i/>
          <w:iCs/>
          <w:color w:val="101010"/>
          <w:sz w:val="18"/>
          <w:szCs w:val="18"/>
          <w:bdr w:val="none" w:sz="0" w:space="0" w:color="auto" w:frame="1"/>
        </w:rPr>
        <w:t xml:space="preserve">Vieillissement et aménagement : perspectives plurielles, </w:t>
      </w:r>
      <w:r w:rsidRPr="008F5EC5">
        <w:rPr>
          <w:rFonts w:ascii="Arial" w:hAnsi="Arial" w:cs="Arial"/>
          <w:b w:val="0"/>
          <w:color w:val="101010"/>
          <w:sz w:val="18"/>
          <w:szCs w:val="18"/>
          <w:bdr w:val="none" w:sz="0" w:space="0" w:color="auto" w:frame="1"/>
        </w:rPr>
        <w:t xml:space="preserve">Collectif sous la direction de Lord et Piché, Montréal, Les Presses de l’Université de Montréal, </w:t>
      </w:r>
      <w:r w:rsidRPr="008F5EC5">
        <w:rPr>
          <w:rFonts w:ascii="Arial" w:hAnsi="Arial" w:cs="Arial"/>
          <w:b w:val="0"/>
          <w:color w:val="000000"/>
          <w:sz w:val="18"/>
          <w:szCs w:val="18"/>
        </w:rPr>
        <w:t xml:space="preserve">2018, </w:t>
      </w:r>
      <w:r w:rsidRPr="008F5EC5">
        <w:rPr>
          <w:rFonts w:ascii="Arial" w:hAnsi="Arial" w:cs="Arial"/>
          <w:b w:val="0"/>
          <w:color w:val="101010"/>
          <w:sz w:val="18"/>
          <w:szCs w:val="18"/>
          <w:bdr w:val="none" w:sz="0" w:space="0" w:color="auto" w:frame="1"/>
        </w:rPr>
        <w:t>300 p.</w:t>
      </w:r>
      <w:bookmarkEnd w:id="4"/>
    </w:p>
  </w:footnote>
  <w:footnote w:id="7">
    <w:p w14:paraId="5E989BE6" w14:textId="77777777" w:rsidR="008F5EC5" w:rsidRPr="008F5EC5" w:rsidRDefault="008F5EC5" w:rsidP="0026510B">
      <w:pPr>
        <w:autoSpaceDE w:val="0"/>
        <w:autoSpaceDN w:val="0"/>
        <w:adjustRightInd w:val="0"/>
        <w:spacing w:after="120"/>
        <w:rPr>
          <w:rFonts w:cs="Arial"/>
          <w:i/>
          <w:iCs/>
          <w:sz w:val="18"/>
          <w:szCs w:val="18"/>
        </w:rPr>
      </w:pPr>
      <w:r w:rsidRPr="008F5EC5">
        <w:rPr>
          <w:rStyle w:val="Appelnotedebasdep"/>
          <w:rFonts w:cs="Arial"/>
          <w:sz w:val="18"/>
          <w:szCs w:val="18"/>
        </w:rPr>
        <w:footnoteRef/>
      </w:r>
      <w:r w:rsidRPr="008F5EC5">
        <w:rPr>
          <w:rFonts w:cs="Arial"/>
          <w:sz w:val="18"/>
          <w:szCs w:val="18"/>
        </w:rPr>
        <w:t xml:space="preserve"> Lord, S., </w:t>
      </w:r>
      <w:r w:rsidRPr="008F5EC5">
        <w:rPr>
          <w:rFonts w:cs="Arial"/>
          <w:i/>
          <w:iCs/>
          <w:sz w:val="18"/>
          <w:szCs w:val="18"/>
        </w:rPr>
        <w:t xml:space="preserve">Étude longitudinale de la mobilité quotidienne et de ses rapports avec les choix résidentiels : l’expérience d’un groupe d’aînés vieillissant en banlieue pavillonnaire, </w:t>
      </w:r>
      <w:r w:rsidRPr="008F5EC5">
        <w:rPr>
          <w:rFonts w:cs="Arial"/>
          <w:sz w:val="18"/>
          <w:szCs w:val="18"/>
        </w:rPr>
        <w:t>Thèse de doctorat, École supérieure d’aménagement du territoire et développement régional, Québec, Université Laval, 2009.</w:t>
      </w:r>
    </w:p>
  </w:footnote>
  <w:footnote w:id="8">
    <w:p w14:paraId="1FA1B97F" w14:textId="77777777" w:rsidR="008F5EC5" w:rsidRPr="008F5EC5" w:rsidRDefault="008F5EC5" w:rsidP="008F5EC5">
      <w:pPr>
        <w:pStyle w:val="Notedebasdepage"/>
        <w:spacing w:after="120" w:line="276" w:lineRule="auto"/>
        <w:ind w:left="90" w:hanging="90"/>
        <w:rPr>
          <w:rFonts w:ascii="Arial" w:hAnsi="Arial" w:cs="Arial"/>
          <w:sz w:val="18"/>
          <w:szCs w:val="18"/>
        </w:rPr>
      </w:pPr>
      <w:r w:rsidRPr="008F5EC5">
        <w:rPr>
          <w:rStyle w:val="Appelnotedebasdep"/>
          <w:rFonts w:ascii="Arial" w:hAnsi="Arial" w:cs="Arial"/>
          <w:sz w:val="18"/>
          <w:szCs w:val="18"/>
        </w:rPr>
        <w:footnoteRef/>
      </w:r>
      <w:r w:rsidRPr="008F5EC5">
        <w:rPr>
          <w:rFonts w:ascii="Arial" w:hAnsi="Arial" w:cs="Arial"/>
          <w:sz w:val="18"/>
          <w:szCs w:val="18"/>
        </w:rPr>
        <w:t xml:space="preserve"> Bureau d’information et d’études en santé des populations, </w:t>
      </w:r>
      <w:r w:rsidRPr="008F5EC5">
        <w:rPr>
          <w:rFonts w:ascii="Arial" w:hAnsi="Arial" w:cs="Arial"/>
          <w:i/>
          <w:iCs/>
          <w:sz w:val="18"/>
          <w:szCs w:val="18"/>
        </w:rPr>
        <w:t>La prévalence de la multimorbidité au Québec : portrait pour l’année 2016-2017,</w:t>
      </w:r>
      <w:r w:rsidRPr="008F5EC5">
        <w:rPr>
          <w:rFonts w:ascii="Arial" w:hAnsi="Arial" w:cs="Arial"/>
          <w:sz w:val="18"/>
          <w:szCs w:val="18"/>
        </w:rPr>
        <w:t xml:space="preserve"> Québec, Institut national de santé publique du Québec, 2019.</w:t>
      </w:r>
    </w:p>
  </w:footnote>
  <w:footnote w:id="9">
    <w:p w14:paraId="1A56090B" w14:textId="77777777" w:rsidR="008F5EC5" w:rsidRPr="001347F8" w:rsidRDefault="008F5EC5" w:rsidP="008F5EC5">
      <w:pPr>
        <w:pStyle w:val="Notedebasdepage"/>
        <w:spacing w:after="120" w:line="276" w:lineRule="auto"/>
        <w:ind w:left="90" w:hanging="90"/>
        <w:rPr>
          <w:rFonts w:ascii="Times New Roman" w:hAnsi="Times New Roman" w:cs="Times New Roman"/>
          <w:sz w:val="18"/>
          <w:szCs w:val="18"/>
        </w:rPr>
      </w:pPr>
      <w:r w:rsidRPr="008F5EC5">
        <w:rPr>
          <w:rStyle w:val="Appelnotedebasdep"/>
          <w:rFonts w:ascii="Arial" w:hAnsi="Arial" w:cs="Arial"/>
          <w:sz w:val="18"/>
          <w:szCs w:val="18"/>
        </w:rPr>
        <w:footnoteRef/>
      </w:r>
      <w:r w:rsidRPr="008F5EC5">
        <w:rPr>
          <w:rFonts w:ascii="Arial" w:hAnsi="Arial" w:cs="Arial"/>
          <w:sz w:val="18"/>
          <w:szCs w:val="18"/>
        </w:rPr>
        <w:t xml:space="preserve"> Institut de la statistique du Québec, « Le bénévolat au Québec, de 2004 à 2013 », </w:t>
      </w:r>
      <w:r w:rsidRPr="008F5EC5">
        <w:rPr>
          <w:rFonts w:ascii="Arial" w:hAnsi="Arial" w:cs="Arial"/>
          <w:i/>
          <w:iCs/>
          <w:sz w:val="18"/>
          <w:szCs w:val="18"/>
        </w:rPr>
        <w:t>Coup d’œil sociodémographique,</w:t>
      </w:r>
      <w:r w:rsidRPr="008F5EC5">
        <w:rPr>
          <w:rFonts w:ascii="Arial" w:hAnsi="Arial" w:cs="Arial"/>
          <w:sz w:val="18"/>
          <w:szCs w:val="18"/>
        </w:rPr>
        <w:t xml:space="preserve"> n</w:t>
      </w:r>
      <w:r w:rsidRPr="008F5EC5">
        <w:rPr>
          <w:rFonts w:ascii="Arial" w:hAnsi="Arial" w:cs="Arial"/>
          <w:sz w:val="18"/>
          <w:szCs w:val="18"/>
          <w:vertAlign w:val="superscript"/>
        </w:rPr>
        <w:t>o</w:t>
      </w:r>
      <w:r w:rsidRPr="008F5EC5">
        <w:rPr>
          <w:rFonts w:ascii="Arial" w:hAnsi="Arial" w:cs="Arial"/>
          <w:sz w:val="18"/>
          <w:szCs w:val="18"/>
        </w:rPr>
        <w:t> 52, avril 2017.</w:t>
      </w:r>
    </w:p>
  </w:footnote>
  <w:footnote w:id="10">
    <w:p w14:paraId="71A59E8B" w14:textId="77777777" w:rsidR="008F5EC5" w:rsidRPr="00553862" w:rsidRDefault="008F5EC5" w:rsidP="00553862">
      <w:pPr>
        <w:pStyle w:val="Notedebasdepage"/>
        <w:spacing w:after="120"/>
        <w:ind w:left="90" w:hanging="90"/>
        <w:rPr>
          <w:rFonts w:ascii="Arial" w:hAnsi="Arial" w:cs="Arial"/>
          <w:sz w:val="18"/>
          <w:szCs w:val="18"/>
        </w:rPr>
      </w:pPr>
      <w:r w:rsidRPr="00553862">
        <w:rPr>
          <w:rStyle w:val="Appelnotedebasdep"/>
          <w:rFonts w:ascii="Arial" w:hAnsi="Arial" w:cs="Arial"/>
          <w:sz w:val="18"/>
          <w:szCs w:val="18"/>
        </w:rPr>
        <w:footnoteRef/>
      </w:r>
      <w:r w:rsidRPr="00553862">
        <w:rPr>
          <w:rFonts w:ascii="Arial" w:hAnsi="Arial" w:cs="Arial"/>
          <w:sz w:val="18"/>
          <w:szCs w:val="18"/>
        </w:rPr>
        <w:t xml:space="preserve"> CEFRIO, « Les aînés connectés au Québec », </w:t>
      </w:r>
      <w:r w:rsidRPr="00553862">
        <w:rPr>
          <w:rFonts w:ascii="Arial" w:hAnsi="Arial" w:cs="Arial"/>
          <w:i/>
          <w:iCs/>
          <w:sz w:val="18"/>
          <w:szCs w:val="18"/>
        </w:rPr>
        <w:t>NETendances</w:t>
      </w:r>
      <w:r w:rsidRPr="00553862">
        <w:rPr>
          <w:rFonts w:ascii="Arial" w:hAnsi="Arial" w:cs="Arial"/>
          <w:sz w:val="18"/>
          <w:szCs w:val="18"/>
        </w:rPr>
        <w:t xml:space="preserve"> (en collaboration avec BIP recherche), vol. 10, n</w:t>
      </w:r>
      <w:r w:rsidRPr="00553862">
        <w:rPr>
          <w:rFonts w:ascii="Arial" w:hAnsi="Arial" w:cs="Arial"/>
          <w:sz w:val="18"/>
          <w:szCs w:val="18"/>
          <w:vertAlign w:val="superscript"/>
        </w:rPr>
        <w:t>o</w:t>
      </w:r>
      <w:r w:rsidRPr="00553862">
        <w:rPr>
          <w:rFonts w:ascii="Arial" w:hAnsi="Arial" w:cs="Arial"/>
          <w:sz w:val="18"/>
          <w:szCs w:val="18"/>
        </w:rPr>
        <w:t> 1, 2019.</w:t>
      </w:r>
    </w:p>
  </w:footnote>
  <w:footnote w:id="11">
    <w:p w14:paraId="3F420C1D" w14:textId="4747E119" w:rsidR="008F5EC5" w:rsidRPr="00553862" w:rsidRDefault="008F5EC5" w:rsidP="00553862">
      <w:pPr>
        <w:pStyle w:val="Notedebasdepage"/>
        <w:spacing w:after="120"/>
        <w:ind w:left="180" w:hanging="180"/>
        <w:rPr>
          <w:rFonts w:ascii="Arial" w:hAnsi="Arial" w:cs="Arial"/>
        </w:rPr>
      </w:pPr>
      <w:r w:rsidRPr="00553862">
        <w:rPr>
          <w:rStyle w:val="Appelnotedebasdep"/>
          <w:rFonts w:ascii="Arial" w:hAnsi="Arial" w:cs="Arial"/>
          <w:sz w:val="18"/>
          <w:szCs w:val="18"/>
        </w:rPr>
        <w:footnoteRef/>
      </w:r>
      <w:r w:rsidRPr="00553862">
        <w:rPr>
          <w:rFonts w:ascii="Arial" w:hAnsi="Arial" w:cs="Arial"/>
          <w:sz w:val="18"/>
          <w:szCs w:val="18"/>
        </w:rPr>
        <w:t xml:space="preserve"> Académie de la transformation numérique. « Les aînés connectés au Québec. »</w:t>
      </w:r>
      <w:r w:rsidRPr="00553862">
        <w:rPr>
          <w:rFonts w:ascii="Arial" w:hAnsi="Arial" w:cs="Arial"/>
          <w:i/>
          <w:iCs/>
          <w:sz w:val="18"/>
          <w:szCs w:val="18"/>
        </w:rPr>
        <w:t xml:space="preserve"> NETendances</w:t>
      </w:r>
      <w:r w:rsidRPr="00553862">
        <w:rPr>
          <w:rFonts w:ascii="Arial" w:hAnsi="Arial" w:cs="Arial"/>
          <w:sz w:val="18"/>
          <w:szCs w:val="18"/>
        </w:rPr>
        <w:t xml:space="preserve"> (en collaboration avec BIP recherche), vol. 11, n</w:t>
      </w:r>
      <w:r w:rsidRPr="00553862">
        <w:rPr>
          <w:rFonts w:ascii="Arial" w:hAnsi="Arial" w:cs="Arial"/>
          <w:sz w:val="18"/>
          <w:szCs w:val="18"/>
          <w:vertAlign w:val="superscript"/>
        </w:rPr>
        <w:t>o</w:t>
      </w:r>
      <w:r w:rsidRPr="00553862">
        <w:rPr>
          <w:rFonts w:ascii="Arial" w:hAnsi="Arial" w:cs="Arial"/>
          <w:sz w:val="18"/>
          <w:szCs w:val="18"/>
        </w:rPr>
        <w:t xml:space="preserve"> 4, 2020.</w:t>
      </w:r>
    </w:p>
  </w:footnote>
  <w:footnote w:id="12">
    <w:p w14:paraId="599466AB" w14:textId="77777777" w:rsidR="008620F8" w:rsidRPr="00F357E5" w:rsidRDefault="008620F8" w:rsidP="008620F8">
      <w:pPr>
        <w:rPr>
          <w:rFonts w:cs="Arial"/>
          <w:sz w:val="18"/>
          <w:szCs w:val="18"/>
        </w:rPr>
      </w:pPr>
      <w:r w:rsidRPr="00F357E5">
        <w:rPr>
          <w:rStyle w:val="Appelnotedebasdep"/>
          <w:rFonts w:cs="Arial"/>
          <w:sz w:val="18"/>
          <w:szCs w:val="18"/>
        </w:rPr>
        <w:footnoteRef/>
      </w:r>
      <w:r w:rsidRPr="00F357E5">
        <w:rPr>
          <w:rFonts w:cs="Arial"/>
          <w:sz w:val="18"/>
          <w:szCs w:val="18"/>
        </w:rPr>
        <w:t xml:space="preserve"> Institut de la statistique du Québec</w:t>
      </w:r>
      <w:r w:rsidRPr="00F357E5">
        <w:rPr>
          <w:rFonts w:cs="Arial"/>
          <w:color w:val="000000"/>
          <w:sz w:val="18"/>
          <w:szCs w:val="18"/>
        </w:rPr>
        <w:t xml:space="preserve">, </w:t>
      </w:r>
      <w:r w:rsidRPr="00F357E5">
        <w:rPr>
          <w:rFonts w:cs="Arial"/>
          <w:i/>
          <w:iCs/>
          <w:color w:val="000000"/>
          <w:sz w:val="18"/>
          <w:szCs w:val="18"/>
        </w:rPr>
        <w:t xml:space="preserve">Perspectives démographiques du Québec et des régions, 2016-2066 : édition 2019, </w:t>
      </w:r>
      <w:r w:rsidRPr="00F357E5">
        <w:rPr>
          <w:rFonts w:cs="Arial"/>
          <w:color w:val="000000"/>
          <w:sz w:val="18"/>
          <w:szCs w:val="18"/>
        </w:rPr>
        <w:t>[En ligne], Québec, L’Institut, 2019, 85 p. [</w:t>
      </w:r>
      <w:r w:rsidRPr="00F357E5">
        <w:rPr>
          <w:rFonts w:cs="Arial"/>
          <w:color w:val="25ACC1"/>
          <w:sz w:val="18"/>
          <w:szCs w:val="18"/>
        </w:rPr>
        <w:t>https://statistique.quebec.ca/fr/fichier/perspectives-demographiques-du-quebec-et-des-regions-2016-2066-edition-2019.pdf</w:t>
      </w:r>
      <w:r w:rsidRPr="00F357E5">
        <w:rPr>
          <w:rFonts w:cs="Arial"/>
          <w:color w:val="000000"/>
          <w:sz w:val="18"/>
          <w:szCs w:val="18"/>
        </w:rPr>
        <w:t>].</w:t>
      </w:r>
    </w:p>
  </w:footnote>
  <w:footnote w:id="13">
    <w:p w14:paraId="5923B842" w14:textId="77777777" w:rsidR="00F357E5" w:rsidRPr="008631D6" w:rsidRDefault="00F357E5" w:rsidP="008631D6">
      <w:pPr>
        <w:pStyle w:val="Notedebasdepage"/>
        <w:spacing w:after="120"/>
        <w:rPr>
          <w:rFonts w:ascii="Arial" w:hAnsi="Arial" w:cs="Arial"/>
          <w:sz w:val="18"/>
          <w:szCs w:val="18"/>
        </w:rPr>
      </w:pPr>
      <w:r w:rsidRPr="008631D6">
        <w:rPr>
          <w:rStyle w:val="Appelnotedebasdep"/>
          <w:rFonts w:ascii="Arial" w:hAnsi="Arial" w:cs="Arial"/>
          <w:sz w:val="18"/>
          <w:szCs w:val="18"/>
        </w:rPr>
        <w:footnoteRef/>
      </w:r>
      <w:r w:rsidRPr="008631D6">
        <w:rPr>
          <w:rFonts w:ascii="Arial" w:hAnsi="Arial" w:cs="Arial"/>
          <w:sz w:val="18"/>
          <w:szCs w:val="18"/>
        </w:rPr>
        <w:t xml:space="preserve"> Institut de la statistique du Québec</w:t>
      </w:r>
      <w:r w:rsidRPr="008631D6">
        <w:rPr>
          <w:rFonts w:ascii="Arial" w:hAnsi="Arial" w:cs="Arial"/>
          <w:color w:val="000000"/>
          <w:sz w:val="18"/>
          <w:szCs w:val="18"/>
        </w:rPr>
        <w:t xml:space="preserve">, « Combien de personnes vivent seules au Québec en 2016? », [En ligne], </w:t>
      </w:r>
      <w:r w:rsidRPr="008631D6">
        <w:rPr>
          <w:rFonts w:ascii="Arial" w:hAnsi="Arial" w:cs="Arial"/>
          <w:i/>
          <w:iCs/>
          <w:color w:val="000000"/>
          <w:sz w:val="18"/>
          <w:szCs w:val="18"/>
        </w:rPr>
        <w:t xml:space="preserve">Données sociodémographiques en bref, </w:t>
      </w:r>
      <w:r w:rsidRPr="008631D6">
        <w:rPr>
          <w:rFonts w:ascii="Arial" w:hAnsi="Arial" w:cs="Arial"/>
          <w:color w:val="000000"/>
          <w:sz w:val="18"/>
          <w:szCs w:val="18"/>
        </w:rPr>
        <w:t>vol. 22, n</w:t>
      </w:r>
      <w:r w:rsidRPr="008631D6">
        <w:rPr>
          <w:rStyle w:val="A16"/>
          <w:rFonts w:ascii="Arial" w:hAnsi="Arial" w:cs="Arial"/>
          <w:sz w:val="18"/>
          <w:szCs w:val="18"/>
          <w:vertAlign w:val="superscript"/>
        </w:rPr>
        <w:t>o</w:t>
      </w:r>
      <w:r w:rsidRPr="008631D6">
        <w:rPr>
          <w:rStyle w:val="A16"/>
          <w:rFonts w:ascii="Arial" w:hAnsi="Arial" w:cs="Arial"/>
          <w:sz w:val="18"/>
          <w:szCs w:val="18"/>
        </w:rPr>
        <w:t> </w:t>
      </w:r>
      <w:r w:rsidRPr="008631D6">
        <w:rPr>
          <w:rFonts w:ascii="Arial" w:hAnsi="Arial" w:cs="Arial"/>
          <w:color w:val="000000"/>
          <w:sz w:val="18"/>
          <w:szCs w:val="18"/>
        </w:rPr>
        <w:t xml:space="preserve">2, 2018, Québec, L’Institut, p. 1-7. </w:t>
      </w:r>
      <w:r w:rsidRPr="008631D6">
        <w:rPr>
          <w:rFonts w:ascii="Arial" w:hAnsi="Arial" w:cs="Arial"/>
          <w:color w:val="25ACC1"/>
          <w:sz w:val="18"/>
          <w:szCs w:val="18"/>
        </w:rPr>
        <w:t>[https://statistique.quebec.ca/fr/fichier/combien-de-personnes-vivent-seules-au-quebec-en-2016.pdf].</w:t>
      </w:r>
    </w:p>
  </w:footnote>
  <w:footnote w:id="14">
    <w:p w14:paraId="4A60AD7E" w14:textId="77777777" w:rsidR="00F357E5" w:rsidRPr="008631D6" w:rsidRDefault="00F357E5" w:rsidP="008631D6">
      <w:pPr>
        <w:pStyle w:val="Notedebasdepage"/>
        <w:spacing w:after="120"/>
        <w:rPr>
          <w:rFonts w:ascii="Arial" w:hAnsi="Arial" w:cs="Arial"/>
          <w:color w:val="000000"/>
          <w:sz w:val="18"/>
          <w:szCs w:val="18"/>
        </w:rPr>
      </w:pPr>
      <w:r w:rsidRPr="008631D6">
        <w:rPr>
          <w:rStyle w:val="Appelnotedebasdep"/>
          <w:rFonts w:ascii="Arial" w:hAnsi="Arial" w:cs="Arial"/>
          <w:sz w:val="18"/>
          <w:szCs w:val="18"/>
        </w:rPr>
        <w:footnoteRef/>
      </w:r>
      <w:r w:rsidRPr="008631D6">
        <w:rPr>
          <w:rFonts w:ascii="Arial" w:hAnsi="Arial" w:cs="Arial"/>
          <w:sz w:val="18"/>
          <w:szCs w:val="18"/>
        </w:rPr>
        <w:t xml:space="preserve"> Statistique Canada</w:t>
      </w:r>
      <w:r w:rsidRPr="008631D6">
        <w:rPr>
          <w:rFonts w:ascii="Arial" w:hAnsi="Arial" w:cs="Arial"/>
          <w:color w:val="000000"/>
          <w:sz w:val="18"/>
          <w:szCs w:val="18"/>
        </w:rPr>
        <w:t xml:space="preserve">, </w:t>
      </w:r>
      <w:r w:rsidRPr="008631D6">
        <w:rPr>
          <w:rFonts w:ascii="Arial" w:hAnsi="Arial" w:cs="Arial"/>
          <w:i/>
          <w:iCs/>
          <w:color w:val="000000"/>
          <w:sz w:val="18"/>
          <w:szCs w:val="18"/>
        </w:rPr>
        <w:t xml:space="preserve">Enquête canadienne sur le revenu : revenu des particuliers selon le groupe d’âge, le sexe et la source de revenus, Canada, provinces et certaines régions métropolitaines de recensement, </w:t>
      </w:r>
      <w:r w:rsidRPr="008631D6">
        <w:rPr>
          <w:rFonts w:ascii="Arial" w:hAnsi="Arial" w:cs="Arial"/>
          <w:color w:val="000000"/>
          <w:sz w:val="18"/>
          <w:szCs w:val="18"/>
        </w:rPr>
        <w:t>[En ligne], Tableau : 11</w:t>
      </w:r>
      <w:r w:rsidRPr="008631D6">
        <w:rPr>
          <w:rFonts w:ascii="Arial" w:hAnsi="Arial" w:cs="Arial"/>
          <w:color w:val="000000"/>
          <w:sz w:val="18"/>
          <w:szCs w:val="18"/>
        </w:rPr>
        <w:noBreakHyphen/>
        <w:t>10-0239-01, 2017</w:t>
      </w:r>
      <w:r w:rsidRPr="008631D6">
        <w:rPr>
          <w:rFonts w:ascii="Arial" w:hAnsi="Arial" w:cs="Arial"/>
          <w:color w:val="25ACC1"/>
          <w:sz w:val="18"/>
          <w:szCs w:val="18"/>
        </w:rPr>
        <w:t>. [</w:t>
      </w:r>
      <w:hyperlink r:id="rId2" w:history="1">
        <w:r w:rsidRPr="008631D6">
          <w:rPr>
            <w:rStyle w:val="Lienhypertexte"/>
            <w:rFonts w:cs="Arial"/>
            <w:color w:val="25ACC1"/>
            <w:sz w:val="18"/>
            <w:szCs w:val="18"/>
          </w:rPr>
          <w:t>https://www150.statcan.gc.ca/t1/tbl1/fr/tv.action?pid=1110023901</w:t>
        </w:r>
      </w:hyperlink>
      <w:r w:rsidRPr="008631D6">
        <w:rPr>
          <w:rStyle w:val="Lienhypertexte"/>
          <w:rFonts w:cs="Arial"/>
          <w:color w:val="25ACC1"/>
          <w:sz w:val="18"/>
          <w:szCs w:val="18"/>
        </w:rPr>
        <w:t>].</w:t>
      </w:r>
    </w:p>
  </w:footnote>
  <w:footnote w:id="15">
    <w:p w14:paraId="79EC9BBA" w14:textId="77777777" w:rsidR="00F357E5" w:rsidRDefault="00F357E5" w:rsidP="00F357E5">
      <w:pPr>
        <w:pStyle w:val="Notedebasdepage"/>
      </w:pPr>
      <w:r w:rsidRPr="008631D6">
        <w:rPr>
          <w:rStyle w:val="Appelnotedebasdep"/>
          <w:rFonts w:ascii="Arial" w:hAnsi="Arial" w:cs="Arial"/>
          <w:sz w:val="18"/>
          <w:szCs w:val="18"/>
        </w:rPr>
        <w:footnoteRef/>
      </w:r>
      <w:r w:rsidRPr="008631D6">
        <w:rPr>
          <w:rFonts w:ascii="Arial" w:hAnsi="Arial" w:cs="Arial"/>
          <w:sz w:val="18"/>
          <w:szCs w:val="18"/>
        </w:rPr>
        <w:t xml:space="preserve"> </w:t>
      </w:r>
      <w:r w:rsidRPr="008631D6">
        <w:rPr>
          <w:rFonts w:ascii="Arial" w:hAnsi="Arial" w:cs="Arial"/>
          <w:color w:val="000000"/>
          <w:sz w:val="18"/>
          <w:szCs w:val="18"/>
        </w:rPr>
        <w:t xml:space="preserve">Statistique Canada, </w:t>
      </w:r>
      <w:r w:rsidRPr="008631D6">
        <w:rPr>
          <w:rFonts w:ascii="Arial" w:hAnsi="Arial" w:cs="Arial"/>
          <w:i/>
          <w:iCs/>
          <w:color w:val="000000"/>
          <w:sz w:val="18"/>
          <w:szCs w:val="18"/>
        </w:rPr>
        <w:t>Statut d’immigrant et période d’immigration, chiffres de 2016, les deux sexes, âge (65 ans et plus), Canada, provinces et territoires, Recensement de 2016 – Données-échantillon (25 %),</w:t>
      </w:r>
      <w:r w:rsidRPr="008631D6">
        <w:rPr>
          <w:rFonts w:ascii="Arial" w:hAnsi="Arial" w:cs="Arial"/>
          <w:color w:val="000000"/>
          <w:sz w:val="18"/>
          <w:szCs w:val="18"/>
        </w:rPr>
        <w:t xml:space="preserve"> 2016, Tableaux téléchargés en septembre 2020 à : </w:t>
      </w:r>
      <w:hyperlink r:id="rId3" w:history="1">
        <w:r w:rsidRPr="008631D6">
          <w:rPr>
            <w:rStyle w:val="Lienhypertexte"/>
            <w:rFonts w:cs="Arial"/>
            <w:color w:val="25ACC1"/>
            <w:sz w:val="18"/>
            <w:szCs w:val="18"/>
          </w:rPr>
          <w:t>https://www12.statcan.gc.ca/census-recensement/2016/dp-pd/hlt-fst/imm/Tableau.cfm?Lang=F&amp;T=11&amp;Geo=00&amp;SP=1&amp;view=1&amp;age=10&amp;sex=1</w:t>
        </w:r>
      </w:hyperlink>
      <w:r w:rsidRPr="008631D6">
        <w:rPr>
          <w:rStyle w:val="Lienhypertexte"/>
          <w:rFonts w:cs="Arial"/>
          <w:color w:val="25ACC1"/>
          <w:sz w:val="18"/>
          <w:szCs w:val="18"/>
        </w:rPr>
        <w:t>.</w:t>
      </w:r>
    </w:p>
  </w:footnote>
  <w:footnote w:id="16">
    <w:p w14:paraId="051F306D" w14:textId="77777777" w:rsidR="00F357E5" w:rsidRPr="00D67AEC" w:rsidRDefault="00F357E5" w:rsidP="00D67AEC">
      <w:pPr>
        <w:pStyle w:val="Notedebasdepage"/>
        <w:spacing w:before="120"/>
        <w:rPr>
          <w:rFonts w:ascii="Arial" w:hAnsi="Arial" w:cs="Arial"/>
          <w:sz w:val="18"/>
          <w:szCs w:val="18"/>
        </w:rPr>
      </w:pPr>
      <w:r w:rsidRPr="00D67AEC">
        <w:rPr>
          <w:rStyle w:val="Appelnotedebasdep"/>
          <w:rFonts w:ascii="Arial" w:hAnsi="Arial" w:cs="Arial"/>
          <w:sz w:val="18"/>
          <w:szCs w:val="18"/>
        </w:rPr>
        <w:footnoteRef/>
      </w:r>
      <w:r w:rsidRPr="00D67AEC">
        <w:rPr>
          <w:rFonts w:ascii="Arial" w:hAnsi="Arial" w:cs="Arial"/>
          <w:sz w:val="18"/>
          <w:szCs w:val="18"/>
        </w:rPr>
        <w:t xml:space="preserve"> LGBTQ+ signifie : lesbiennes, gais, bisexuels, transgenres, en questionnement et le signe + permet d’englober les spectres de la sexualité et du genre (Wikipédia).</w:t>
      </w:r>
    </w:p>
  </w:footnote>
  <w:footnote w:id="17">
    <w:p w14:paraId="189170D6" w14:textId="77777777" w:rsidR="00F357E5" w:rsidRPr="00D67AEC" w:rsidRDefault="00F357E5" w:rsidP="00D67AEC">
      <w:pPr>
        <w:pStyle w:val="Notedebasdepage"/>
        <w:spacing w:before="120"/>
        <w:rPr>
          <w:rFonts w:ascii="Arial" w:hAnsi="Arial" w:cs="Arial"/>
          <w:sz w:val="18"/>
          <w:szCs w:val="18"/>
        </w:rPr>
      </w:pPr>
      <w:r w:rsidRPr="00D67AEC">
        <w:rPr>
          <w:rStyle w:val="Appelnotedebasdep"/>
          <w:rFonts w:ascii="Arial" w:hAnsi="Arial" w:cs="Arial"/>
          <w:sz w:val="18"/>
          <w:szCs w:val="18"/>
        </w:rPr>
        <w:footnoteRef/>
      </w:r>
      <w:r w:rsidRPr="00D67AEC">
        <w:rPr>
          <w:rFonts w:ascii="Arial" w:hAnsi="Arial" w:cs="Arial"/>
          <w:sz w:val="18"/>
          <w:szCs w:val="18"/>
        </w:rPr>
        <w:t xml:space="preserve"> Emploi et Développement social Canada,</w:t>
      </w:r>
      <w:r w:rsidRPr="00D67AEC">
        <w:rPr>
          <w:rFonts w:ascii="Arial" w:hAnsi="Arial" w:cs="Arial"/>
          <w:i/>
          <w:iCs/>
          <w:sz w:val="18"/>
          <w:szCs w:val="18"/>
        </w:rPr>
        <w:t xml:space="preserve"> Isolement social des aînés : un regard sur les aînés LGBTQ au Canada</w:t>
      </w:r>
      <w:r w:rsidRPr="00D67AEC">
        <w:rPr>
          <w:rFonts w:ascii="Arial" w:hAnsi="Arial" w:cs="Arial"/>
          <w:sz w:val="18"/>
          <w:szCs w:val="18"/>
        </w:rPr>
        <w:t xml:space="preserve">, 2018, Téléchargé du site du gouvernement du Canada le 21 septembre 2020 : </w:t>
      </w:r>
      <w:hyperlink r:id="rId4" w:history="1">
        <w:r w:rsidRPr="00D67AEC">
          <w:rPr>
            <w:rStyle w:val="Lienhypertexte"/>
            <w:rFonts w:cs="Arial"/>
            <w:color w:val="25ACC1"/>
            <w:sz w:val="18"/>
            <w:szCs w:val="18"/>
          </w:rPr>
          <w:t>https://www.canada.ca/fr/emploi-developpement-social/ministere/aines/forum/isolement-social-lgbtq.html</w:t>
        </w:r>
      </w:hyperlink>
      <w:r w:rsidRPr="00D67AEC">
        <w:rPr>
          <w:rStyle w:val="Lienhypertexte"/>
          <w:rFonts w:cs="Arial"/>
          <w:color w:val="25ACC1"/>
          <w:sz w:val="18"/>
          <w:szCs w:val="18"/>
        </w:rPr>
        <w:t>.</w:t>
      </w:r>
    </w:p>
  </w:footnote>
  <w:footnote w:id="18">
    <w:p w14:paraId="1EA26DCD" w14:textId="77777777" w:rsidR="00F357E5" w:rsidRPr="00D67AEC" w:rsidRDefault="00F357E5" w:rsidP="00D67AEC">
      <w:pPr>
        <w:pStyle w:val="Notedebasdepage"/>
        <w:spacing w:before="120"/>
        <w:rPr>
          <w:rFonts w:ascii="Arial" w:hAnsi="Arial" w:cs="Arial"/>
          <w:sz w:val="18"/>
          <w:szCs w:val="18"/>
        </w:rPr>
      </w:pPr>
      <w:r w:rsidRPr="00D67AEC">
        <w:rPr>
          <w:rStyle w:val="Appelnotedebasdep"/>
          <w:rFonts w:ascii="Arial" w:hAnsi="Arial" w:cs="Arial"/>
          <w:sz w:val="18"/>
          <w:szCs w:val="18"/>
        </w:rPr>
        <w:footnoteRef/>
      </w:r>
      <w:r w:rsidRPr="00D67AEC">
        <w:rPr>
          <w:rFonts w:ascii="Arial" w:hAnsi="Arial" w:cs="Arial"/>
          <w:sz w:val="18"/>
          <w:szCs w:val="18"/>
        </w:rPr>
        <w:t xml:space="preserve"> Cisgenre : le fait pour un individu d’avoir une identité de genre qui est en accord avec son sexe.</w:t>
      </w:r>
    </w:p>
  </w:footnote>
  <w:footnote w:id="19">
    <w:p w14:paraId="585B23D1" w14:textId="77777777" w:rsidR="00F357E5" w:rsidRPr="00D67AEC" w:rsidRDefault="00F357E5" w:rsidP="00D67AEC">
      <w:pPr>
        <w:spacing w:before="120"/>
        <w:rPr>
          <w:rFonts w:cs="Arial"/>
          <w:color w:val="000000"/>
          <w:sz w:val="18"/>
          <w:szCs w:val="18"/>
          <w:shd w:val="clear" w:color="auto" w:fill="FFFFFF"/>
        </w:rPr>
      </w:pPr>
      <w:r w:rsidRPr="00D67AEC">
        <w:rPr>
          <w:rStyle w:val="Appelnotedebasdep"/>
          <w:rFonts w:cs="Arial"/>
          <w:sz w:val="18"/>
          <w:szCs w:val="18"/>
        </w:rPr>
        <w:footnoteRef/>
      </w:r>
      <w:r w:rsidRPr="00D67AEC">
        <w:rPr>
          <w:rFonts w:cs="Arial"/>
          <w:sz w:val="18"/>
          <w:szCs w:val="18"/>
        </w:rPr>
        <w:t xml:space="preserve"> </w:t>
      </w:r>
      <w:r w:rsidRPr="00D67AEC">
        <w:rPr>
          <w:rFonts w:cs="Arial"/>
          <w:color w:val="000000"/>
          <w:sz w:val="18"/>
          <w:szCs w:val="18"/>
          <w:shd w:val="clear" w:color="auto" w:fill="FFFFFF"/>
        </w:rPr>
        <w:t xml:space="preserve">Brotman, S., B. Ryan et R. Cormier, « Comprendre et soutenir les aînés gais et lesbiennes », dans Charpentier, M., et autres (dir.), </w:t>
      </w:r>
      <w:r w:rsidRPr="00D67AEC">
        <w:rPr>
          <w:rStyle w:val="Accentuation"/>
          <w:rFonts w:cs="Arial"/>
          <w:color w:val="000000"/>
          <w:sz w:val="18"/>
          <w:szCs w:val="18"/>
          <w:shd w:val="clear" w:color="auto" w:fill="FFFFFF"/>
        </w:rPr>
        <w:t>Vieillir au pluriel : perspectives sociales,</w:t>
      </w:r>
      <w:r w:rsidRPr="00D67AEC">
        <w:rPr>
          <w:rStyle w:val="Accentuation"/>
          <w:rFonts w:cs="Arial"/>
          <w:i w:val="0"/>
          <w:iCs w:val="0"/>
          <w:color w:val="000000"/>
          <w:sz w:val="18"/>
          <w:szCs w:val="18"/>
          <w:shd w:val="clear" w:color="auto" w:fill="FFFFFF"/>
        </w:rPr>
        <w:t xml:space="preserve"> </w:t>
      </w:r>
      <w:r w:rsidRPr="00D67AEC">
        <w:rPr>
          <w:rFonts w:cs="Arial"/>
          <w:color w:val="000000"/>
          <w:sz w:val="18"/>
          <w:szCs w:val="18"/>
          <w:shd w:val="clear" w:color="auto" w:fill="FFFFFF"/>
        </w:rPr>
        <w:t>Québec, Presses de l’Université du Québec, 2010, p. 93</w:t>
      </w:r>
      <w:r w:rsidRPr="00D67AEC">
        <w:rPr>
          <w:rFonts w:cs="Arial"/>
          <w:color w:val="000000"/>
          <w:sz w:val="18"/>
          <w:szCs w:val="18"/>
          <w:shd w:val="clear" w:color="auto" w:fill="FFFFFF"/>
        </w:rPr>
        <w:noBreakHyphen/>
        <w:t>107.</w:t>
      </w:r>
    </w:p>
    <w:p w14:paraId="3B79FAAB" w14:textId="77777777" w:rsidR="00F357E5" w:rsidRDefault="00F357E5" w:rsidP="00F357E5">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506ED" w14:textId="3BB80906" w:rsidR="00F82603" w:rsidRDefault="00F82603" w:rsidP="00E54490">
    <w:pPr>
      <w:pStyle w:val="En-tte"/>
      <w:rPr>
        <w:noProof/>
        <w:lang w:eastAsia="fr-CA"/>
      </w:rPr>
    </w:pPr>
  </w:p>
  <w:p w14:paraId="1E16FAE4" w14:textId="5A5E8A13" w:rsidR="00F82603" w:rsidRDefault="00F82603" w:rsidP="00E54490">
    <w:pPr>
      <w:pStyle w:val="En-tte"/>
      <w:rPr>
        <w:noProof/>
        <w:lang w:eastAsia="fr-CA"/>
      </w:rPr>
    </w:pPr>
  </w:p>
  <w:p w14:paraId="2E668577" w14:textId="41D4AF98" w:rsidR="00F82603" w:rsidRDefault="00F82603" w:rsidP="00E5449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060EC" w14:textId="5AB312D0" w:rsidR="00F82603" w:rsidRDefault="00F82603" w:rsidP="00E54490">
    <w:pPr>
      <w:pStyle w:val="En-tte"/>
    </w:pPr>
    <w:r w:rsidRPr="00BE4B0F">
      <w:rPr>
        <w:noProof/>
      </w:rPr>
      <mc:AlternateContent>
        <mc:Choice Requires="wps">
          <w:drawing>
            <wp:anchor distT="0" distB="0" distL="114300" distR="114300" simplePos="0" relativeHeight="251670528" behindDoc="0" locked="0" layoutInCell="1" allowOverlap="1" wp14:anchorId="26EAAF3C" wp14:editId="3F351583">
              <wp:simplePos x="0" y="0"/>
              <wp:positionH relativeFrom="column">
                <wp:posOffset>5972176</wp:posOffset>
              </wp:positionH>
              <wp:positionV relativeFrom="paragraph">
                <wp:posOffset>-1152525</wp:posOffset>
              </wp:positionV>
              <wp:extent cx="1323781" cy="1323781"/>
              <wp:effectExtent l="279400" t="279400" r="226060" b="276860"/>
              <wp:wrapNone/>
              <wp:docPr id="23" name="Rectangle 23"/>
              <wp:cNvGraphicFramePr/>
              <a:graphic xmlns:a="http://schemas.openxmlformats.org/drawingml/2006/main">
                <a:graphicData uri="http://schemas.microsoft.com/office/word/2010/wordprocessingShape">
                  <wps:wsp>
                    <wps:cNvSpPr/>
                    <wps:spPr>
                      <a:xfrm rot="2700000">
                        <a:off x="0" y="0"/>
                        <a:ext cx="1323781" cy="1323781"/>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EAD4B" id="Rectangle 23" o:spid="_x0000_s1026" style="position:absolute;margin-left:470.25pt;margin-top:-90.75pt;width:104.25pt;height:104.25pt;rotation:45;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" fillcolor="#c7e359"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2676B" w14:textId="785702B9" w:rsidR="00F82603" w:rsidRDefault="00F82603">
    <w:pPr>
      <w:pStyle w:val="En-tte"/>
    </w:pPr>
    <w:r w:rsidRPr="001171F9">
      <w:rPr>
        <w:noProof/>
      </w:rPr>
      <mc:AlternateContent>
        <mc:Choice Requires="wps">
          <w:drawing>
            <wp:anchor distT="0" distB="0" distL="114300" distR="114300" simplePos="0" relativeHeight="251687936" behindDoc="0" locked="0" layoutInCell="1" allowOverlap="1" wp14:anchorId="7DD0A3B6" wp14:editId="0269B854">
              <wp:simplePos x="0" y="0"/>
              <wp:positionH relativeFrom="column">
                <wp:posOffset>691515</wp:posOffset>
              </wp:positionH>
              <wp:positionV relativeFrom="paragraph">
                <wp:posOffset>3322320</wp:posOffset>
              </wp:positionV>
              <wp:extent cx="1313815" cy="1313180"/>
              <wp:effectExtent l="318" t="0" r="952" b="953"/>
              <wp:wrapNone/>
              <wp:docPr id="6" name="Larme 6"/>
              <wp:cNvGraphicFramePr/>
              <a:graphic xmlns:a="http://schemas.openxmlformats.org/drawingml/2006/main">
                <a:graphicData uri="http://schemas.microsoft.com/office/word/2010/wordprocessingShape">
                  <wps:wsp>
                    <wps:cNvSpPr/>
                    <wps:spPr>
                      <a:xfrm rot="5400000">
                        <a:off x="0" y="0"/>
                        <a:ext cx="1313815" cy="1313180"/>
                      </a:xfrm>
                      <a:prstGeom prst="teardrop">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BD6434" id="Larme 6" o:spid="_x0000_s1026" style="position:absolute;margin-left:54.45pt;margin-top:261.6pt;width:103.45pt;height:103.4pt;rotation:90;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313815,131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" path="m,656590c,293965,294108,,656908,r656907,l1313815,656590v,362625,-294108,656590,-656908,656590c294107,1313180,-1,1019215,-1,656590r1,xe" fillcolor="#25acc1" stroked="f" strokeweight="1pt">
              <v:stroke joinstyle="miter"/>
              <v:path arrowok="t" o:connecttype="custom" o:connectlocs="0,656590;656908,0;1313815,0;1313815,656590;656907,1313180;-1,656590;0,656590" o:connectangles="0,0,0,0,0,0,0"/>
            </v:shape>
          </w:pict>
        </mc:Fallback>
      </mc:AlternateContent>
    </w:r>
    <w:r w:rsidRPr="001171F9">
      <w:rPr>
        <w:noProof/>
      </w:rPr>
      <mc:AlternateContent>
        <mc:Choice Requires="wps">
          <w:drawing>
            <wp:anchor distT="0" distB="0" distL="114300" distR="114300" simplePos="0" relativeHeight="251688960" behindDoc="0" locked="0" layoutInCell="1" allowOverlap="1" wp14:anchorId="5E826459" wp14:editId="2CD12AE9">
              <wp:simplePos x="0" y="0"/>
              <wp:positionH relativeFrom="column">
                <wp:posOffset>60325</wp:posOffset>
              </wp:positionH>
              <wp:positionV relativeFrom="paragraph">
                <wp:posOffset>4739005</wp:posOffset>
              </wp:positionV>
              <wp:extent cx="1942465" cy="1941830"/>
              <wp:effectExtent l="318" t="0" r="952" b="953"/>
              <wp:wrapNone/>
              <wp:docPr id="16" name="Larme 16"/>
              <wp:cNvGraphicFramePr/>
              <a:graphic xmlns:a="http://schemas.openxmlformats.org/drawingml/2006/main">
                <a:graphicData uri="http://schemas.microsoft.com/office/word/2010/wordprocessingShape">
                  <wps:wsp>
                    <wps:cNvSpPr/>
                    <wps:spPr>
                      <a:xfrm rot="16200000" flipV="1">
                        <a:off x="0" y="0"/>
                        <a:ext cx="1942465" cy="1941830"/>
                      </a:xfrm>
                      <a:prstGeom prst="teardrop">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09EC7E" id="Larme 16" o:spid="_x0000_s1026" style="position:absolute;margin-left:4.75pt;margin-top:373.15pt;width:152.95pt;height:152.9pt;rotation:90;flip:y;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1942465,194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" path="m,970915c,434693,434836,,971233,r971232,l1942465,970915v,536222,-434836,970915,-971233,970915c434835,1941830,-1,1507137,-1,970915r1,xe" fillcolor="#25acc1" stroked="f" strokeweight="1pt">
              <v:stroke joinstyle="miter"/>
              <v:path arrowok="t" o:connecttype="custom" o:connectlocs="0,970915;971233,0;1942465,0;1942465,970915;971232,1941830;-1,970915;0,970915" o:connectangles="0,0,0,0,0,0,0"/>
            </v:shape>
          </w:pict>
        </mc:Fallback>
      </mc:AlternateContent>
    </w:r>
    <w:r w:rsidRPr="001171F9">
      <w:rPr>
        <w:noProof/>
      </w:rPr>
      <mc:AlternateContent>
        <mc:Choice Requires="wps">
          <w:drawing>
            <wp:anchor distT="0" distB="0" distL="114300" distR="114300" simplePos="0" relativeHeight="251689984" behindDoc="0" locked="0" layoutInCell="1" allowOverlap="1" wp14:anchorId="6E581636" wp14:editId="6F67EF8E">
              <wp:simplePos x="0" y="0"/>
              <wp:positionH relativeFrom="column">
                <wp:posOffset>-2289810</wp:posOffset>
              </wp:positionH>
              <wp:positionV relativeFrom="paragraph">
                <wp:posOffset>109220</wp:posOffset>
              </wp:positionV>
              <wp:extent cx="1447800" cy="1768475"/>
              <wp:effectExtent l="258762" t="427038" r="201613" b="430212"/>
              <wp:wrapNone/>
              <wp:docPr id="27" name="Rectangle 27"/>
              <wp:cNvGraphicFramePr/>
              <a:graphic xmlns:a="http://schemas.openxmlformats.org/drawingml/2006/main">
                <a:graphicData uri="http://schemas.microsoft.com/office/word/2010/wordprocessingShape">
                  <wps:wsp>
                    <wps:cNvSpPr/>
                    <wps:spPr>
                      <a:xfrm rot="2700000">
                        <a:off x="0" y="0"/>
                        <a:ext cx="1447800" cy="1768475"/>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14554E" id="Rectangle 27" o:spid="_x0000_s1026" style="position:absolute;margin-left:-180.3pt;margin-top:8.6pt;width:114pt;height:139.25pt;rotation:45;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" fillcolor="#c7e359" stroked="f" strokeweight="1pt"/>
          </w:pict>
        </mc:Fallback>
      </mc:AlternateContent>
    </w:r>
    <w:r w:rsidRPr="001171F9">
      <w:rPr>
        <w:noProof/>
      </w:rPr>
      <mc:AlternateContent>
        <mc:Choice Requires="wps">
          <w:drawing>
            <wp:anchor distT="0" distB="0" distL="114300" distR="114300" simplePos="0" relativeHeight="251691008" behindDoc="0" locked="0" layoutInCell="1" allowOverlap="1" wp14:anchorId="2431BE75" wp14:editId="015E134D">
              <wp:simplePos x="0" y="0"/>
              <wp:positionH relativeFrom="column">
                <wp:posOffset>2122805</wp:posOffset>
              </wp:positionH>
              <wp:positionV relativeFrom="paragraph">
                <wp:posOffset>4677410</wp:posOffset>
              </wp:positionV>
              <wp:extent cx="2875280" cy="1027430"/>
              <wp:effectExtent l="0" t="0" r="0" b="127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280" cy="1027430"/>
                      </a:xfrm>
                      <a:prstGeom prst="rect">
                        <a:avLst/>
                      </a:prstGeom>
                      <a:noFill/>
                      <a:ln w="9525">
                        <a:noFill/>
                        <a:miter lim="800000"/>
                        <a:headEnd/>
                        <a:tailEnd/>
                      </a:ln>
                    </wps:spPr>
                    <wps:txbx>
                      <w:txbxContent>
                        <w:p w14:paraId="7816B47B" w14:textId="77777777" w:rsidR="00F82603" w:rsidRPr="00FF02D3" w:rsidRDefault="00F82603" w:rsidP="001171F9">
                          <w:pPr>
                            <w:spacing w:after="0"/>
                            <w:jc w:val="left"/>
                            <w:rPr>
                              <w:rFonts w:ascii="Raleway ExtraBold" w:eastAsia="SimSun" w:hAnsi="Raleway ExtraBold" w:cs="Times New Roman"/>
                              <w:b/>
                              <w:bCs/>
                              <w:iCs/>
                              <w:sz w:val="40"/>
                              <w:szCs w:val="52"/>
                              <w:lang w:eastAsia="zh-CN"/>
                            </w:rPr>
                          </w:pPr>
                          <w:r w:rsidRPr="00FF02D3">
                            <w:rPr>
                              <w:rFonts w:ascii="Raleway ExtraBold" w:eastAsia="SimSun" w:hAnsi="Raleway ExtraBold" w:cs="Times New Roman"/>
                              <w:b/>
                              <w:bCs/>
                              <w:iCs/>
                              <w:color w:val="25ACC1"/>
                              <w:sz w:val="48"/>
                              <w:szCs w:val="48"/>
                              <w:lang w:eastAsia="zh-CN"/>
                            </w:rPr>
                            <w:t>MUNICIPALITÉS AMIES DES AÎNÉS</w:t>
                          </w:r>
                          <w:r w:rsidRPr="00FF02D3">
                            <w:rPr>
                              <w:rFonts w:ascii="Raleway ExtraBold" w:eastAsia="SimSun" w:hAnsi="Raleway ExtraBold" w:cs="Times New Roman"/>
                              <w:b/>
                              <w:bCs/>
                              <w:iCs/>
                              <w:color w:val="25ACC1"/>
                              <w:sz w:val="40"/>
                              <w:szCs w:val="52"/>
                              <w:lang w:eastAsia="zh-CN"/>
                            </w:rPr>
                            <w:t xml:space="preserve"> </w:t>
                          </w:r>
                          <w:r w:rsidRPr="00FF02D3">
                            <w:rPr>
                              <w:rFonts w:ascii="Raleway ExtraBold" w:eastAsia="SimSun" w:hAnsi="Raleway ExtraBold" w:cs="Times New Roman"/>
                              <w:b/>
                              <w:bCs/>
                              <w:iCs/>
                              <w:sz w:val="40"/>
                              <w:szCs w:val="52"/>
                              <w:lang w:eastAsia="zh-CN"/>
                            </w:rPr>
                            <w:br/>
                          </w:r>
                        </w:p>
                        <w:p w14:paraId="1A16C4F4" w14:textId="77777777" w:rsidR="00F82603" w:rsidRDefault="00F82603" w:rsidP="001171F9"/>
                      </w:txbxContent>
                    </wps:txbx>
                    <wps:bodyPr rot="0" vert="horz" wrap="square" lIns="91440" tIns="45720" rIns="91440" bIns="45720" anchor="t" anchorCtr="0">
                      <a:noAutofit/>
                    </wps:bodyPr>
                  </wps:wsp>
                </a:graphicData>
              </a:graphic>
            </wp:anchor>
          </w:drawing>
        </mc:Choice>
        <mc:Fallback>
          <w:pict>
            <v:shapetype w14:anchorId="2431BE75" id="_x0000_t202" coordsize="21600,21600" o:spt="202" path="m,l,21600r21600,l21600,xe">
              <v:stroke joinstyle="miter"/>
              <v:path gradientshapeok="t" o:connecttype="rect"/>
            </v:shapetype>
            <v:shape id="Zone de texte 2" o:spid="_x0000_s1033" type="#_x0000_t202" style="position:absolute;left:0;text-align:left;margin-left:167.15pt;margin-top:368.3pt;width:226.4pt;height:80.9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" filled="f" stroked="f">
              <v:textbox>
                <w:txbxContent>
                  <w:p w14:paraId="7816B47B" w14:textId="77777777" w:rsidR="00F82603" w:rsidRPr="00FF02D3" w:rsidRDefault="00F82603" w:rsidP="001171F9">
                    <w:pPr>
                      <w:spacing w:after="0"/>
                      <w:jc w:val="left"/>
                      <w:rPr>
                        <w:rFonts w:ascii="Raleway ExtraBold" w:eastAsia="SimSun" w:hAnsi="Raleway ExtraBold" w:cs="Times New Roman"/>
                        <w:b/>
                        <w:bCs/>
                        <w:iCs/>
                        <w:sz w:val="40"/>
                        <w:szCs w:val="52"/>
                        <w:lang w:eastAsia="zh-CN"/>
                      </w:rPr>
                    </w:pPr>
                    <w:r w:rsidRPr="00FF02D3">
                      <w:rPr>
                        <w:rFonts w:ascii="Raleway ExtraBold" w:eastAsia="SimSun" w:hAnsi="Raleway ExtraBold" w:cs="Times New Roman"/>
                        <w:b/>
                        <w:bCs/>
                        <w:iCs/>
                        <w:color w:val="25ACC1"/>
                        <w:sz w:val="48"/>
                        <w:szCs w:val="48"/>
                        <w:lang w:eastAsia="zh-CN"/>
                      </w:rPr>
                      <w:t>MUNICIPALITÉS AMIES DES AÎNÉS</w:t>
                    </w:r>
                    <w:r w:rsidRPr="00FF02D3">
                      <w:rPr>
                        <w:rFonts w:ascii="Raleway ExtraBold" w:eastAsia="SimSun" w:hAnsi="Raleway ExtraBold" w:cs="Times New Roman"/>
                        <w:b/>
                        <w:bCs/>
                        <w:iCs/>
                        <w:color w:val="25ACC1"/>
                        <w:sz w:val="40"/>
                        <w:szCs w:val="52"/>
                        <w:lang w:eastAsia="zh-CN"/>
                      </w:rPr>
                      <w:t xml:space="preserve"> </w:t>
                    </w:r>
                    <w:r w:rsidRPr="00FF02D3">
                      <w:rPr>
                        <w:rFonts w:ascii="Raleway ExtraBold" w:eastAsia="SimSun" w:hAnsi="Raleway ExtraBold" w:cs="Times New Roman"/>
                        <w:b/>
                        <w:bCs/>
                        <w:iCs/>
                        <w:sz w:val="40"/>
                        <w:szCs w:val="52"/>
                        <w:lang w:eastAsia="zh-CN"/>
                      </w:rPr>
                      <w:br/>
                    </w:r>
                  </w:p>
                  <w:p w14:paraId="1A16C4F4" w14:textId="77777777" w:rsidR="00F82603" w:rsidRDefault="00F82603" w:rsidP="001171F9"/>
                </w:txbxContent>
              </v:textbox>
            </v:shape>
          </w:pict>
        </mc:Fallback>
      </mc:AlternateContent>
    </w:r>
    <w:r w:rsidRPr="001171F9">
      <w:rPr>
        <w:noProof/>
      </w:rPr>
      <mc:AlternateContent>
        <mc:Choice Requires="wps">
          <w:drawing>
            <wp:anchor distT="0" distB="0" distL="114300" distR="114300" simplePos="0" relativeHeight="251692032" behindDoc="0" locked="0" layoutInCell="1" allowOverlap="1" wp14:anchorId="58412BFC" wp14:editId="11171611">
              <wp:simplePos x="0" y="0"/>
              <wp:positionH relativeFrom="column">
                <wp:posOffset>-1153160</wp:posOffset>
              </wp:positionH>
              <wp:positionV relativeFrom="paragraph">
                <wp:posOffset>7420610</wp:posOffset>
              </wp:positionV>
              <wp:extent cx="7790815" cy="1266190"/>
              <wp:effectExtent l="0" t="0" r="635" b="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0815" cy="1266190"/>
                      </a:xfrm>
                      <a:prstGeom prst="rect">
                        <a:avLst/>
                      </a:prstGeom>
                      <a:solidFill>
                        <a:srgbClr val="324D72"/>
                      </a:solidFill>
                      <a:ln w="9525">
                        <a:noFill/>
                        <a:miter lim="800000"/>
                        <a:headEnd/>
                        <a:tailEnd/>
                      </a:ln>
                    </wps:spPr>
                    <wps:txbx>
                      <w:txbxContent>
                        <w:p w14:paraId="2B4DD636" w14:textId="253A1F1C" w:rsidR="00F82603" w:rsidRDefault="00F82603" w:rsidP="00166780">
                          <w:pPr>
                            <w:spacing w:before="120" w:after="0"/>
                            <w:jc w:val="center"/>
                          </w:pPr>
                          <w:r>
                            <w:rPr>
                              <w:rFonts w:ascii="Raleway SemiBold" w:hAnsi="Raleway SemiBold"/>
                              <w:color w:val="FFFFFF" w:themeColor="background1"/>
                              <w:sz w:val="44"/>
                              <w:szCs w:val="44"/>
                            </w:rPr>
                            <w:t xml:space="preserve">Outil </w:t>
                          </w:r>
                          <w:r w:rsidR="00166780" w:rsidRPr="00166780">
                            <w:rPr>
                              <w:rFonts w:ascii="Raleway SemiBold" w:hAnsi="Raleway SemiBold"/>
                              <w:color w:val="FFFFFF" w:themeColor="background1"/>
                              <w:sz w:val="44"/>
                              <w:szCs w:val="44"/>
                            </w:rPr>
                            <w:t>complémentaire</w:t>
                          </w:r>
                        </w:p>
                      </w:txbxContent>
                    </wps:txbx>
                    <wps:bodyPr rot="0" vert="horz" wrap="square" lIns="91440" tIns="45720" rIns="91440" bIns="45720" anchor="ctr" anchorCtr="0">
                      <a:noAutofit/>
                    </wps:bodyPr>
                  </wps:wsp>
                </a:graphicData>
              </a:graphic>
            </wp:anchor>
          </w:drawing>
        </mc:Choice>
        <mc:Fallback>
          <w:pict>
            <v:shape w14:anchorId="58412BFC" id="_x0000_s1034" type="#_x0000_t202" style="position:absolute;left:0;text-align:left;margin-left:-90.8pt;margin-top:584.3pt;width:613.45pt;height:99.7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" fillcolor="#324d72" stroked="f">
              <v:textbox>
                <w:txbxContent>
                  <w:p w14:paraId="2B4DD636" w14:textId="253A1F1C" w:rsidR="00F82603" w:rsidRDefault="00F82603" w:rsidP="00166780">
                    <w:pPr>
                      <w:spacing w:before="120" w:after="0"/>
                      <w:jc w:val="center"/>
                    </w:pPr>
                    <w:r>
                      <w:rPr>
                        <w:rFonts w:ascii="Raleway SemiBold" w:hAnsi="Raleway SemiBold"/>
                        <w:color w:val="FFFFFF" w:themeColor="background1"/>
                        <w:sz w:val="44"/>
                        <w:szCs w:val="44"/>
                      </w:rPr>
                      <w:t xml:space="preserve">Outil </w:t>
                    </w:r>
                    <w:r w:rsidR="00166780" w:rsidRPr="00166780">
                      <w:rPr>
                        <w:rFonts w:ascii="Raleway SemiBold" w:hAnsi="Raleway SemiBold"/>
                        <w:color w:val="FFFFFF" w:themeColor="background1"/>
                        <w:sz w:val="44"/>
                        <w:szCs w:val="44"/>
                      </w:rPr>
                      <w:t>complémentaire</w:t>
                    </w:r>
                  </w:p>
                </w:txbxContent>
              </v:textbox>
            </v:shape>
          </w:pict>
        </mc:Fallback>
      </mc:AlternateContent>
    </w:r>
    <w:r w:rsidRPr="001171F9">
      <w:rPr>
        <w:noProof/>
      </w:rPr>
      <w:drawing>
        <wp:anchor distT="0" distB="0" distL="114300" distR="114300" simplePos="0" relativeHeight="251693056" behindDoc="0" locked="0" layoutInCell="1" allowOverlap="1" wp14:anchorId="7D434D4C" wp14:editId="3DB63A48">
          <wp:simplePos x="0" y="0"/>
          <wp:positionH relativeFrom="column">
            <wp:posOffset>2103755</wp:posOffset>
          </wp:positionH>
          <wp:positionV relativeFrom="paragraph">
            <wp:posOffset>1591310</wp:posOffset>
          </wp:positionV>
          <wp:extent cx="3056255" cy="3056255"/>
          <wp:effectExtent l="0" t="0" r="0" b="0"/>
          <wp:wrapNone/>
          <wp:docPr id="7" name="Image 7" descr="Une image contenant personne, homme, intérieur, ten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personne, homme, intérieur, tenant&#10;&#10;Description générée automatiquemen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056255" cy="305625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8A818" w14:textId="4B4C5A5C" w:rsidR="00F82603" w:rsidRDefault="00F82603" w:rsidP="00E54490">
    <w:pPr>
      <w:pStyle w:val="En-tte"/>
      <w:rPr>
        <w:rFonts w:ascii="Times New Roman" w:eastAsia="SimSun" w:hAnsi="Times New Roman" w:cs="Times New Roman"/>
        <w:noProof/>
        <w:lang w:eastAsia="fr-CA"/>
      </w:rPr>
    </w:pPr>
    <w:r>
      <w:rPr>
        <w:rFonts w:ascii="Times New Roman" w:eastAsia="SimSun" w:hAnsi="Times New Roman" w:cs="Times New Roman"/>
        <w:noProof/>
        <w:lang w:eastAsia="fr-CA"/>
      </w:rPr>
      <mc:AlternateContent>
        <mc:Choice Requires="wpg">
          <w:drawing>
            <wp:anchor distT="0" distB="0" distL="114300" distR="114300" simplePos="0" relativeHeight="251700224" behindDoc="0" locked="0" layoutInCell="1" allowOverlap="1" wp14:anchorId="7C7CACCC" wp14:editId="3760DF1A">
              <wp:simplePos x="0" y="0"/>
              <wp:positionH relativeFrom="column">
                <wp:posOffset>-1981200</wp:posOffset>
              </wp:positionH>
              <wp:positionV relativeFrom="paragraph">
                <wp:posOffset>-800735</wp:posOffset>
              </wp:positionV>
              <wp:extent cx="1884045" cy="1002030"/>
              <wp:effectExtent l="0" t="400050" r="40005" b="560070"/>
              <wp:wrapNone/>
              <wp:docPr id="32" name="Groupe 32"/>
              <wp:cNvGraphicFramePr/>
              <a:graphic xmlns:a="http://schemas.openxmlformats.org/drawingml/2006/main">
                <a:graphicData uri="http://schemas.microsoft.com/office/word/2010/wordprocessingGroup">
                  <wpg:wgp>
                    <wpg:cNvGrpSpPr/>
                    <wpg:grpSpPr>
                      <a:xfrm>
                        <a:off x="0" y="0"/>
                        <a:ext cx="1884045" cy="1002030"/>
                        <a:chOff x="0" y="0"/>
                        <a:chExt cx="1884045" cy="1002030"/>
                      </a:xfrm>
                    </wpg:grpSpPr>
                    <wps:wsp>
                      <wps:cNvPr id="2" name="Rectangle 2"/>
                      <wps:cNvSpPr/>
                      <wps:spPr>
                        <a:xfrm rot="8100000">
                          <a:off x="0" y="158750"/>
                          <a:ext cx="1884045" cy="84328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rot="8100000">
                          <a:off x="958850" y="0"/>
                          <a:ext cx="673735" cy="673735"/>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080D2C0" id="Groupe 32" o:spid="_x0000_s1026" style="position:absolute;margin-left:-156pt;margin-top:-63.05pt;width:148.35pt;height:78.9pt;z-index:251700224;mso-height-relative:margin" coordsize="18840,1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">
              <v:rect id="Rectangle 2" o:spid="_x0000_s1027" style="position:absolute;top:1587;width:18840;height:8433;rotation: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" fillcolor="#25acc1" stroked="f" strokeweight="1pt"/>
              <v:rect id="Rectangle 3" o:spid="_x0000_s1028" style="position:absolute;left:9588;width:6737;height:6737;rotation: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" fillcolor="#c7e359" stroked="f" strokeweight="1pt"/>
            </v:group>
          </w:pict>
        </mc:Fallback>
      </mc:AlternateContent>
    </w:r>
  </w:p>
  <w:p w14:paraId="44457A42" w14:textId="5EA3C1BD" w:rsidR="00F82603" w:rsidRDefault="00F82603" w:rsidP="00E54490">
    <w:pPr>
      <w:pStyle w:val="En-tte"/>
      <w:rPr>
        <w:noProof/>
        <w:lang w:eastAsia="fr-CA"/>
      </w:rPr>
    </w:pPr>
  </w:p>
  <w:p w14:paraId="38701224" w14:textId="2394A283" w:rsidR="00F82603" w:rsidRDefault="00F82603" w:rsidP="00E54490">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AEE67" w14:textId="338DB543" w:rsidR="00F82603" w:rsidRDefault="00F82603" w:rsidP="00E54490">
    <w:pPr>
      <w:pStyle w:val="En-tte"/>
    </w:pPr>
    <w:r>
      <w:rPr>
        <w:noProof/>
      </w:rPr>
      <mc:AlternateContent>
        <mc:Choice Requires="wps">
          <w:drawing>
            <wp:anchor distT="0" distB="0" distL="114300" distR="114300" simplePos="0" relativeHeight="251661312" behindDoc="0" locked="0" layoutInCell="1" allowOverlap="1" wp14:anchorId="1B4B5D73" wp14:editId="4C6A4581">
              <wp:simplePos x="0" y="0"/>
              <wp:positionH relativeFrom="column">
                <wp:posOffset>5370194</wp:posOffset>
              </wp:positionH>
              <wp:positionV relativeFrom="paragraph">
                <wp:posOffset>-476251</wp:posOffset>
              </wp:positionV>
              <wp:extent cx="871159" cy="871159"/>
              <wp:effectExtent l="190500" t="190500" r="196215" b="196215"/>
              <wp:wrapNone/>
              <wp:docPr id="10" name="Rectangle 10"/>
              <wp:cNvGraphicFramePr/>
              <a:graphic xmlns:a="http://schemas.openxmlformats.org/drawingml/2006/main">
                <a:graphicData uri="http://schemas.microsoft.com/office/word/2010/wordprocessingShape">
                  <wps:wsp>
                    <wps:cNvSpPr/>
                    <wps:spPr>
                      <a:xfrm rot="2700000">
                        <a:off x="0" y="0"/>
                        <a:ext cx="871159" cy="871159"/>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3D109" id="Rectangle 10" o:spid="_x0000_s1026" style="position:absolute;margin-left:422.85pt;margin-top:-37.5pt;width:68.6pt;height:68.6pt;rotation:45;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" fillcolor="#c7e359" stroked="f" strokeweight="1pt"/>
          </w:pict>
        </mc:Fallback>
      </mc:AlternateContent>
    </w:r>
    <w:r>
      <w:rPr>
        <w:noProof/>
      </w:rPr>
      <mc:AlternateContent>
        <mc:Choice Requires="wps">
          <w:drawing>
            <wp:anchor distT="0" distB="0" distL="114300" distR="114300" simplePos="0" relativeHeight="251659264" behindDoc="0" locked="0" layoutInCell="1" allowOverlap="1" wp14:anchorId="383988F8" wp14:editId="23F93511">
              <wp:simplePos x="0" y="0"/>
              <wp:positionH relativeFrom="column">
                <wp:posOffset>5678805</wp:posOffset>
              </wp:positionH>
              <wp:positionV relativeFrom="paragraph">
                <wp:posOffset>-723405</wp:posOffset>
              </wp:positionV>
              <wp:extent cx="1123200" cy="1123200"/>
              <wp:effectExtent l="247650" t="247650" r="153670" b="248920"/>
              <wp:wrapNone/>
              <wp:docPr id="8" name="Rectangle 8"/>
              <wp:cNvGraphicFramePr/>
              <a:graphic xmlns:a="http://schemas.openxmlformats.org/drawingml/2006/main">
                <a:graphicData uri="http://schemas.microsoft.com/office/word/2010/wordprocessingShape">
                  <wps:wsp>
                    <wps:cNvSpPr/>
                    <wps:spPr>
                      <a:xfrm rot="2700000">
                        <a:off x="0" y="0"/>
                        <a:ext cx="1123200" cy="112320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5C651" id="Rectangle 8" o:spid="_x0000_s1026" style="position:absolute;margin-left:447.15pt;margin-top:-56.95pt;width:88.45pt;height:88.45pt;rotation:45;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" fillcolor="#25acc1" stroked="f" strokeweight="1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85925" w14:textId="78F11D5B" w:rsidR="00F82603" w:rsidRDefault="0046645B" w:rsidP="00E54490">
    <w:pPr>
      <w:pStyle w:val="En-tte"/>
      <w:rPr>
        <w:noProof/>
        <w:lang w:eastAsia="fr-CA"/>
      </w:rPr>
    </w:pPr>
    <w:r w:rsidRPr="0046645B">
      <w:rPr>
        <w:noProof/>
        <w:lang w:eastAsia="fr-CA"/>
      </w:rPr>
      <mc:AlternateContent>
        <mc:Choice Requires="wps">
          <w:drawing>
            <wp:anchor distT="0" distB="0" distL="114300" distR="114300" simplePos="0" relativeHeight="251704320" behindDoc="0" locked="0" layoutInCell="1" allowOverlap="1" wp14:anchorId="74020E4C" wp14:editId="0531A376">
              <wp:simplePos x="0" y="0"/>
              <wp:positionH relativeFrom="column">
                <wp:posOffset>-1633855</wp:posOffset>
              </wp:positionH>
              <wp:positionV relativeFrom="paragraph">
                <wp:posOffset>-608330</wp:posOffset>
              </wp:positionV>
              <wp:extent cx="13492480" cy="466725"/>
              <wp:effectExtent l="0" t="0" r="0" b="3175"/>
              <wp:wrapNone/>
              <wp:docPr id="18" name="Rectangle 18"/>
              <wp:cNvGraphicFramePr/>
              <a:graphic xmlns:a="http://schemas.openxmlformats.org/drawingml/2006/main">
                <a:graphicData uri="http://schemas.microsoft.com/office/word/2010/wordprocessingShape">
                  <wps:wsp>
                    <wps:cNvSpPr/>
                    <wps:spPr>
                      <a:xfrm>
                        <a:off x="0" y="0"/>
                        <a:ext cx="13492480" cy="466725"/>
                      </a:xfrm>
                      <a:prstGeom prst="rect">
                        <a:avLst/>
                      </a:prstGeom>
                      <a:solidFill>
                        <a:srgbClr val="25AC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F0361" id="Rectangle 18" o:spid="_x0000_s1026" style="position:absolute;margin-left:-128.65pt;margin-top:-47.9pt;width:1062.4pt;height:36.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" fillcolor="#25acc1" stroked="f" strokeweight="1pt"/>
          </w:pict>
        </mc:Fallback>
      </mc:AlternateContent>
    </w:r>
    <w:r w:rsidRPr="0046645B">
      <w:rPr>
        <w:noProof/>
        <w:lang w:eastAsia="fr-CA"/>
      </w:rPr>
      <mc:AlternateContent>
        <mc:Choice Requires="wps">
          <w:drawing>
            <wp:anchor distT="0" distB="0" distL="114300" distR="114300" simplePos="0" relativeHeight="251705344" behindDoc="0" locked="0" layoutInCell="1" allowOverlap="1" wp14:anchorId="1AB61474" wp14:editId="6B465B83">
              <wp:simplePos x="0" y="0"/>
              <wp:positionH relativeFrom="column">
                <wp:posOffset>-2057082</wp:posOffset>
              </wp:positionH>
              <wp:positionV relativeFrom="paragraph">
                <wp:posOffset>-1276986</wp:posOffset>
              </wp:positionV>
              <wp:extent cx="1448210" cy="1768793"/>
              <wp:effectExtent l="258762" t="414338" r="258763" b="423862"/>
              <wp:wrapNone/>
              <wp:docPr id="19" name="Rectangle 19"/>
              <wp:cNvGraphicFramePr/>
              <a:graphic xmlns:a="http://schemas.openxmlformats.org/drawingml/2006/main">
                <a:graphicData uri="http://schemas.microsoft.com/office/word/2010/wordprocessingShape">
                  <wps:wsp>
                    <wps:cNvSpPr/>
                    <wps:spPr>
                      <a:xfrm rot="2700000">
                        <a:off x="0" y="0"/>
                        <a:ext cx="1448210" cy="1768793"/>
                      </a:xfrm>
                      <a:prstGeom prst="rect">
                        <a:avLst/>
                      </a:prstGeom>
                      <a:solidFill>
                        <a:srgbClr val="C7E35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6874E" id="Rectangle 19" o:spid="_x0000_s1026" style="position:absolute;margin-left:-161.95pt;margin-top:-100.55pt;width:114.05pt;height:139.3pt;rotation:45;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" fillcolor="#c7e359" stroked="f" strokeweight="1pt"/>
          </w:pict>
        </mc:Fallback>
      </mc:AlternateContent>
    </w:r>
  </w:p>
  <w:p w14:paraId="4950B5B6" w14:textId="587EE322" w:rsidR="00F82603" w:rsidRDefault="00F82603" w:rsidP="00E54490">
    <w:pPr>
      <w:pStyle w:val="En-tte"/>
      <w:rPr>
        <w:noProof/>
        <w:lang w:eastAsia="fr-CA"/>
      </w:rPr>
    </w:pPr>
  </w:p>
  <w:p w14:paraId="3857D5B8" w14:textId="1872A6F9" w:rsidR="00F82603" w:rsidRDefault="00F82603" w:rsidP="00E54490">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64B9" w14:textId="4CCE26B3" w:rsidR="0046645B" w:rsidRDefault="0046645B" w:rsidP="00E5449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44BAD"/>
    <w:multiLevelType w:val="multilevel"/>
    <w:tmpl w:val="2FE60890"/>
    <w:lvl w:ilvl="0">
      <w:start w:val="1"/>
      <w:numFmt w:val="decimal"/>
      <w:pStyle w:val="Titre1"/>
      <w:lvlText w:val="%1."/>
      <w:lvlJc w:val="left"/>
      <w:pPr>
        <w:ind w:left="360" w:hanging="360"/>
      </w:pPr>
    </w:lvl>
    <w:lvl w:ilvl="1">
      <w:start w:val="1"/>
      <w:numFmt w:val="decimal"/>
      <w:pStyle w:val="Titre2"/>
      <w:lvlText w:val="%1.%2"/>
      <w:lvlJc w:val="left"/>
      <w:pPr>
        <w:ind w:left="1711" w:hanging="576"/>
      </w:pPr>
    </w:lvl>
    <w:lvl w:ilvl="2">
      <w:start w:val="1"/>
      <w:numFmt w:val="decimal"/>
      <w:pStyle w:val="Style2"/>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 w15:restartNumberingAfterBreak="0">
    <w:nsid w:val="02691A3A"/>
    <w:multiLevelType w:val="hybridMultilevel"/>
    <w:tmpl w:val="97EA812A"/>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3F1618F"/>
    <w:multiLevelType w:val="hybridMultilevel"/>
    <w:tmpl w:val="06A2DAE0"/>
    <w:lvl w:ilvl="0" w:tplc="60D2CA70">
      <w:start w:val="1"/>
      <w:numFmt w:val="bullet"/>
      <w:pStyle w:val="Crochets"/>
      <w:lvlText w:val=""/>
      <w:lvlJc w:val="left"/>
      <w:pPr>
        <w:ind w:left="9008" w:hanging="360"/>
      </w:pPr>
      <w:rPr>
        <w:rFonts w:ascii="Wingdings" w:hAnsi="Wingdings" w:hint="default"/>
        <w:b/>
        <w:sz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C9E2B1F"/>
    <w:multiLevelType w:val="hybridMultilevel"/>
    <w:tmpl w:val="0E1243DE"/>
    <w:lvl w:ilvl="0" w:tplc="0F745C32">
      <w:start w:val="1"/>
      <w:numFmt w:val="bullet"/>
      <w:pStyle w:val="Puces"/>
      <w:lvlText w:val=""/>
      <w:lvlJc w:val="left"/>
      <w:pPr>
        <w:ind w:left="720" w:hanging="360"/>
      </w:pPr>
      <w:rPr>
        <w:rFonts w:ascii="Symbol" w:hAnsi="Symbol" w:hint="default"/>
        <w:sz w:val="1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1726325"/>
    <w:multiLevelType w:val="hybridMultilevel"/>
    <w:tmpl w:val="1F80E5A4"/>
    <w:lvl w:ilvl="0" w:tplc="CFA4590C">
      <w:numFmt w:val="bullet"/>
      <w:lvlText w:val="–"/>
      <w:lvlJc w:val="left"/>
      <w:pPr>
        <w:ind w:left="720" w:hanging="360"/>
      </w:pPr>
      <w:rPr>
        <w:rFonts w:ascii="Calibri" w:eastAsiaTheme="minorHAnsi" w:hAnsi="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6656353"/>
    <w:multiLevelType w:val="hybridMultilevel"/>
    <w:tmpl w:val="5A386CD0"/>
    <w:lvl w:ilvl="0" w:tplc="0C0C0001">
      <w:start w:val="1"/>
      <w:numFmt w:val="bullet"/>
      <w:lvlText w:val=""/>
      <w:lvlJc w:val="left"/>
      <w:pPr>
        <w:ind w:left="1077" w:hanging="360"/>
      </w:pPr>
      <w:rPr>
        <w:rFonts w:ascii="Symbol" w:hAnsi="Symbol" w:hint="default"/>
      </w:rPr>
    </w:lvl>
    <w:lvl w:ilvl="1" w:tplc="0C0C0003" w:tentative="1">
      <w:start w:val="1"/>
      <w:numFmt w:val="bullet"/>
      <w:lvlText w:val="o"/>
      <w:lvlJc w:val="left"/>
      <w:pPr>
        <w:ind w:left="1797" w:hanging="360"/>
      </w:pPr>
      <w:rPr>
        <w:rFonts w:ascii="Courier New" w:hAnsi="Courier New" w:cs="Courier New" w:hint="default"/>
      </w:rPr>
    </w:lvl>
    <w:lvl w:ilvl="2" w:tplc="0C0C0005" w:tentative="1">
      <w:start w:val="1"/>
      <w:numFmt w:val="bullet"/>
      <w:lvlText w:val=""/>
      <w:lvlJc w:val="left"/>
      <w:pPr>
        <w:ind w:left="2517" w:hanging="360"/>
      </w:pPr>
      <w:rPr>
        <w:rFonts w:ascii="Wingdings" w:hAnsi="Wingdings" w:hint="default"/>
      </w:rPr>
    </w:lvl>
    <w:lvl w:ilvl="3" w:tplc="0C0C0001" w:tentative="1">
      <w:start w:val="1"/>
      <w:numFmt w:val="bullet"/>
      <w:lvlText w:val=""/>
      <w:lvlJc w:val="left"/>
      <w:pPr>
        <w:ind w:left="3237" w:hanging="360"/>
      </w:pPr>
      <w:rPr>
        <w:rFonts w:ascii="Symbol" w:hAnsi="Symbol" w:hint="default"/>
      </w:rPr>
    </w:lvl>
    <w:lvl w:ilvl="4" w:tplc="0C0C0003" w:tentative="1">
      <w:start w:val="1"/>
      <w:numFmt w:val="bullet"/>
      <w:lvlText w:val="o"/>
      <w:lvlJc w:val="left"/>
      <w:pPr>
        <w:ind w:left="3957" w:hanging="360"/>
      </w:pPr>
      <w:rPr>
        <w:rFonts w:ascii="Courier New" w:hAnsi="Courier New" w:cs="Courier New" w:hint="default"/>
      </w:rPr>
    </w:lvl>
    <w:lvl w:ilvl="5" w:tplc="0C0C0005" w:tentative="1">
      <w:start w:val="1"/>
      <w:numFmt w:val="bullet"/>
      <w:lvlText w:val=""/>
      <w:lvlJc w:val="left"/>
      <w:pPr>
        <w:ind w:left="4677" w:hanging="360"/>
      </w:pPr>
      <w:rPr>
        <w:rFonts w:ascii="Wingdings" w:hAnsi="Wingdings" w:hint="default"/>
      </w:rPr>
    </w:lvl>
    <w:lvl w:ilvl="6" w:tplc="0C0C0001" w:tentative="1">
      <w:start w:val="1"/>
      <w:numFmt w:val="bullet"/>
      <w:lvlText w:val=""/>
      <w:lvlJc w:val="left"/>
      <w:pPr>
        <w:ind w:left="5397" w:hanging="360"/>
      </w:pPr>
      <w:rPr>
        <w:rFonts w:ascii="Symbol" w:hAnsi="Symbol" w:hint="default"/>
      </w:rPr>
    </w:lvl>
    <w:lvl w:ilvl="7" w:tplc="0C0C0003" w:tentative="1">
      <w:start w:val="1"/>
      <w:numFmt w:val="bullet"/>
      <w:lvlText w:val="o"/>
      <w:lvlJc w:val="left"/>
      <w:pPr>
        <w:ind w:left="6117" w:hanging="360"/>
      </w:pPr>
      <w:rPr>
        <w:rFonts w:ascii="Courier New" w:hAnsi="Courier New" w:cs="Courier New" w:hint="default"/>
      </w:rPr>
    </w:lvl>
    <w:lvl w:ilvl="8" w:tplc="0C0C0005" w:tentative="1">
      <w:start w:val="1"/>
      <w:numFmt w:val="bullet"/>
      <w:lvlText w:val=""/>
      <w:lvlJc w:val="left"/>
      <w:pPr>
        <w:ind w:left="6837" w:hanging="360"/>
      </w:pPr>
      <w:rPr>
        <w:rFonts w:ascii="Wingdings" w:hAnsi="Wingdings" w:hint="default"/>
      </w:rPr>
    </w:lvl>
  </w:abstractNum>
  <w:abstractNum w:abstractNumId="6" w15:restartNumberingAfterBreak="0">
    <w:nsid w:val="1A086036"/>
    <w:multiLevelType w:val="hybridMultilevel"/>
    <w:tmpl w:val="811A3C12"/>
    <w:lvl w:ilvl="0" w:tplc="0C0C0019">
      <w:start w:val="1"/>
      <w:numFmt w:val="lowerLetter"/>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A880AD1"/>
    <w:multiLevelType w:val="hybridMultilevel"/>
    <w:tmpl w:val="27EAC5EA"/>
    <w:lvl w:ilvl="0" w:tplc="CA8E438E">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BB07555"/>
    <w:multiLevelType w:val="multilevel"/>
    <w:tmpl w:val="B9BE65B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15:restartNumberingAfterBreak="0">
    <w:nsid w:val="1BE015FA"/>
    <w:multiLevelType w:val="hybridMultilevel"/>
    <w:tmpl w:val="AAC4C810"/>
    <w:lvl w:ilvl="0" w:tplc="0C0C0001">
      <w:start w:val="1"/>
      <w:numFmt w:val="bullet"/>
      <w:lvlText w:val=""/>
      <w:lvlJc w:val="left"/>
      <w:pPr>
        <w:ind w:left="720" w:hanging="360"/>
      </w:pPr>
      <w:rPr>
        <w:rFonts w:ascii="Symbol" w:hAnsi="Symbo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1C547756"/>
    <w:multiLevelType w:val="hybridMultilevel"/>
    <w:tmpl w:val="FB1E4F6E"/>
    <w:lvl w:ilvl="0" w:tplc="EBB8AC7C">
      <w:start w:val="1"/>
      <w:numFmt w:val="bullet"/>
      <w:lvlText w:val="→"/>
      <w:lvlJc w:val="left"/>
      <w:pPr>
        <w:ind w:left="720" w:hanging="360"/>
      </w:pPr>
      <w:rPr>
        <w:rFonts w:ascii="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6F37FCF"/>
    <w:multiLevelType w:val="hybridMultilevel"/>
    <w:tmpl w:val="1FB0F6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70950DC"/>
    <w:multiLevelType w:val="hybridMultilevel"/>
    <w:tmpl w:val="A7AE457E"/>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3" w15:restartNumberingAfterBreak="0">
    <w:nsid w:val="2C4C2B24"/>
    <w:multiLevelType w:val="hybridMultilevel"/>
    <w:tmpl w:val="D366A2AA"/>
    <w:lvl w:ilvl="0" w:tplc="0C0C0019">
      <w:start w:val="1"/>
      <w:numFmt w:val="low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4" w15:restartNumberingAfterBreak="0">
    <w:nsid w:val="30AD1749"/>
    <w:multiLevelType w:val="hybridMultilevel"/>
    <w:tmpl w:val="6FFCA38C"/>
    <w:lvl w:ilvl="0" w:tplc="BDCE18E8">
      <w:start w:val="1"/>
      <w:numFmt w:val="bullet"/>
      <w:lvlText w:val=""/>
      <w:lvlJc w:val="left"/>
      <w:pPr>
        <w:ind w:left="720" w:hanging="360"/>
      </w:pPr>
      <w:rPr>
        <w:rFonts w:ascii="Symbol" w:hAnsi="Symbol" w:hint="default"/>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338E06AE"/>
    <w:multiLevelType w:val="hybridMultilevel"/>
    <w:tmpl w:val="BBA66C2E"/>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33950748"/>
    <w:multiLevelType w:val="hybridMultilevel"/>
    <w:tmpl w:val="F410973C"/>
    <w:lvl w:ilvl="0" w:tplc="58E48D9E">
      <w:start w:val="3"/>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35D85628"/>
    <w:multiLevelType w:val="hybridMultilevel"/>
    <w:tmpl w:val="46EAE2C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35EC4C9C"/>
    <w:multiLevelType w:val="hybridMultilevel"/>
    <w:tmpl w:val="825C9D58"/>
    <w:lvl w:ilvl="0" w:tplc="04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61A51F3"/>
    <w:multiLevelType w:val="hybridMultilevel"/>
    <w:tmpl w:val="2B583222"/>
    <w:lvl w:ilvl="0" w:tplc="0C0C0019">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3E591284"/>
    <w:multiLevelType w:val="hybridMultilevel"/>
    <w:tmpl w:val="A8A6528C"/>
    <w:lvl w:ilvl="0" w:tplc="29AACFE2">
      <w:start w:val="1"/>
      <w:numFmt w:val="decimal"/>
      <w:pStyle w:val="TABLEAUNumro"/>
      <w:lvlText w:val="%1."/>
      <w:lvlJc w:val="left"/>
      <w:pPr>
        <w:ind w:left="833" w:hanging="360"/>
      </w:pPr>
      <w:rPr>
        <w:rFonts w:hint="default"/>
      </w:rPr>
    </w:lvl>
    <w:lvl w:ilvl="1" w:tplc="0C0C0003">
      <w:start w:val="1"/>
      <w:numFmt w:val="bullet"/>
      <w:lvlText w:val="o"/>
      <w:lvlJc w:val="left"/>
      <w:pPr>
        <w:ind w:left="1553" w:hanging="360"/>
      </w:pPr>
      <w:rPr>
        <w:rFonts w:ascii="Courier New" w:hAnsi="Courier New" w:cs="Courier New" w:hint="default"/>
      </w:rPr>
    </w:lvl>
    <w:lvl w:ilvl="2" w:tplc="0C0C0005" w:tentative="1">
      <w:start w:val="1"/>
      <w:numFmt w:val="bullet"/>
      <w:lvlText w:val=""/>
      <w:lvlJc w:val="left"/>
      <w:pPr>
        <w:ind w:left="2273" w:hanging="360"/>
      </w:pPr>
      <w:rPr>
        <w:rFonts w:ascii="Wingdings" w:hAnsi="Wingdings" w:hint="default"/>
      </w:rPr>
    </w:lvl>
    <w:lvl w:ilvl="3" w:tplc="0C0C0001" w:tentative="1">
      <w:start w:val="1"/>
      <w:numFmt w:val="bullet"/>
      <w:lvlText w:val=""/>
      <w:lvlJc w:val="left"/>
      <w:pPr>
        <w:ind w:left="2993" w:hanging="360"/>
      </w:pPr>
      <w:rPr>
        <w:rFonts w:ascii="Symbol" w:hAnsi="Symbol" w:hint="default"/>
      </w:rPr>
    </w:lvl>
    <w:lvl w:ilvl="4" w:tplc="0C0C0003" w:tentative="1">
      <w:start w:val="1"/>
      <w:numFmt w:val="bullet"/>
      <w:lvlText w:val="o"/>
      <w:lvlJc w:val="left"/>
      <w:pPr>
        <w:ind w:left="3713" w:hanging="360"/>
      </w:pPr>
      <w:rPr>
        <w:rFonts w:ascii="Courier New" w:hAnsi="Courier New" w:cs="Courier New" w:hint="default"/>
      </w:rPr>
    </w:lvl>
    <w:lvl w:ilvl="5" w:tplc="0C0C0005" w:tentative="1">
      <w:start w:val="1"/>
      <w:numFmt w:val="bullet"/>
      <w:lvlText w:val=""/>
      <w:lvlJc w:val="left"/>
      <w:pPr>
        <w:ind w:left="4433" w:hanging="360"/>
      </w:pPr>
      <w:rPr>
        <w:rFonts w:ascii="Wingdings" w:hAnsi="Wingdings" w:hint="default"/>
      </w:rPr>
    </w:lvl>
    <w:lvl w:ilvl="6" w:tplc="0C0C0001" w:tentative="1">
      <w:start w:val="1"/>
      <w:numFmt w:val="bullet"/>
      <w:lvlText w:val=""/>
      <w:lvlJc w:val="left"/>
      <w:pPr>
        <w:ind w:left="5153" w:hanging="360"/>
      </w:pPr>
      <w:rPr>
        <w:rFonts w:ascii="Symbol" w:hAnsi="Symbol" w:hint="default"/>
      </w:rPr>
    </w:lvl>
    <w:lvl w:ilvl="7" w:tplc="0C0C0003" w:tentative="1">
      <w:start w:val="1"/>
      <w:numFmt w:val="bullet"/>
      <w:lvlText w:val="o"/>
      <w:lvlJc w:val="left"/>
      <w:pPr>
        <w:ind w:left="5873" w:hanging="360"/>
      </w:pPr>
      <w:rPr>
        <w:rFonts w:ascii="Courier New" w:hAnsi="Courier New" w:cs="Courier New" w:hint="default"/>
      </w:rPr>
    </w:lvl>
    <w:lvl w:ilvl="8" w:tplc="0C0C0005" w:tentative="1">
      <w:start w:val="1"/>
      <w:numFmt w:val="bullet"/>
      <w:lvlText w:val=""/>
      <w:lvlJc w:val="left"/>
      <w:pPr>
        <w:ind w:left="6593" w:hanging="360"/>
      </w:pPr>
      <w:rPr>
        <w:rFonts w:ascii="Wingdings" w:hAnsi="Wingdings" w:hint="default"/>
      </w:rPr>
    </w:lvl>
  </w:abstractNum>
  <w:abstractNum w:abstractNumId="21" w15:restartNumberingAfterBreak="0">
    <w:nsid w:val="57866DE5"/>
    <w:multiLevelType w:val="hybridMultilevel"/>
    <w:tmpl w:val="F700730E"/>
    <w:lvl w:ilvl="0" w:tplc="4DEE1ED8">
      <w:numFmt w:val="bullet"/>
      <w:pStyle w:val="TABLEAUpuces"/>
      <w:lvlText w:val="•"/>
      <w:lvlJc w:val="left"/>
      <w:pPr>
        <w:ind w:left="833" w:hanging="360"/>
      </w:pPr>
      <w:rPr>
        <w:rFonts w:ascii="Arial" w:eastAsiaTheme="minorHAnsi" w:hAnsi="Arial" w:hint="default"/>
      </w:rPr>
    </w:lvl>
    <w:lvl w:ilvl="1" w:tplc="0C0C0003" w:tentative="1">
      <w:start w:val="1"/>
      <w:numFmt w:val="bullet"/>
      <w:lvlText w:val="o"/>
      <w:lvlJc w:val="left"/>
      <w:pPr>
        <w:ind w:left="1553" w:hanging="360"/>
      </w:pPr>
      <w:rPr>
        <w:rFonts w:ascii="Courier New" w:hAnsi="Courier New" w:cs="Courier New" w:hint="default"/>
      </w:rPr>
    </w:lvl>
    <w:lvl w:ilvl="2" w:tplc="0C0C0005" w:tentative="1">
      <w:start w:val="1"/>
      <w:numFmt w:val="bullet"/>
      <w:lvlText w:val=""/>
      <w:lvlJc w:val="left"/>
      <w:pPr>
        <w:ind w:left="2273" w:hanging="360"/>
      </w:pPr>
      <w:rPr>
        <w:rFonts w:ascii="Wingdings" w:hAnsi="Wingdings" w:hint="default"/>
      </w:rPr>
    </w:lvl>
    <w:lvl w:ilvl="3" w:tplc="0C0C0001" w:tentative="1">
      <w:start w:val="1"/>
      <w:numFmt w:val="bullet"/>
      <w:lvlText w:val=""/>
      <w:lvlJc w:val="left"/>
      <w:pPr>
        <w:ind w:left="2993" w:hanging="360"/>
      </w:pPr>
      <w:rPr>
        <w:rFonts w:ascii="Symbol" w:hAnsi="Symbol" w:hint="default"/>
      </w:rPr>
    </w:lvl>
    <w:lvl w:ilvl="4" w:tplc="0C0C0003" w:tentative="1">
      <w:start w:val="1"/>
      <w:numFmt w:val="bullet"/>
      <w:lvlText w:val="o"/>
      <w:lvlJc w:val="left"/>
      <w:pPr>
        <w:ind w:left="3713" w:hanging="360"/>
      </w:pPr>
      <w:rPr>
        <w:rFonts w:ascii="Courier New" w:hAnsi="Courier New" w:cs="Courier New" w:hint="default"/>
      </w:rPr>
    </w:lvl>
    <w:lvl w:ilvl="5" w:tplc="0C0C0005" w:tentative="1">
      <w:start w:val="1"/>
      <w:numFmt w:val="bullet"/>
      <w:lvlText w:val=""/>
      <w:lvlJc w:val="left"/>
      <w:pPr>
        <w:ind w:left="4433" w:hanging="360"/>
      </w:pPr>
      <w:rPr>
        <w:rFonts w:ascii="Wingdings" w:hAnsi="Wingdings" w:hint="default"/>
      </w:rPr>
    </w:lvl>
    <w:lvl w:ilvl="6" w:tplc="0C0C0001" w:tentative="1">
      <w:start w:val="1"/>
      <w:numFmt w:val="bullet"/>
      <w:lvlText w:val=""/>
      <w:lvlJc w:val="left"/>
      <w:pPr>
        <w:ind w:left="5153" w:hanging="360"/>
      </w:pPr>
      <w:rPr>
        <w:rFonts w:ascii="Symbol" w:hAnsi="Symbol" w:hint="default"/>
      </w:rPr>
    </w:lvl>
    <w:lvl w:ilvl="7" w:tplc="0C0C0003" w:tentative="1">
      <w:start w:val="1"/>
      <w:numFmt w:val="bullet"/>
      <w:lvlText w:val="o"/>
      <w:lvlJc w:val="left"/>
      <w:pPr>
        <w:ind w:left="5873" w:hanging="360"/>
      </w:pPr>
      <w:rPr>
        <w:rFonts w:ascii="Courier New" w:hAnsi="Courier New" w:cs="Courier New" w:hint="default"/>
      </w:rPr>
    </w:lvl>
    <w:lvl w:ilvl="8" w:tplc="0C0C0005" w:tentative="1">
      <w:start w:val="1"/>
      <w:numFmt w:val="bullet"/>
      <w:lvlText w:val=""/>
      <w:lvlJc w:val="left"/>
      <w:pPr>
        <w:ind w:left="6593" w:hanging="360"/>
      </w:pPr>
      <w:rPr>
        <w:rFonts w:ascii="Wingdings" w:hAnsi="Wingdings" w:hint="default"/>
      </w:rPr>
    </w:lvl>
  </w:abstractNum>
  <w:abstractNum w:abstractNumId="22" w15:restartNumberingAfterBreak="0">
    <w:nsid w:val="5B727018"/>
    <w:multiLevelType w:val="hybridMultilevel"/>
    <w:tmpl w:val="A66CFE40"/>
    <w:lvl w:ilvl="0" w:tplc="CFA4590C">
      <w:numFmt w:val="bullet"/>
      <w:lvlText w:val="–"/>
      <w:lvlJc w:val="left"/>
      <w:pPr>
        <w:ind w:left="720" w:hanging="360"/>
      </w:pPr>
      <w:rPr>
        <w:rFonts w:ascii="Calibri" w:eastAsiaTheme="minorHAnsi" w:hAnsi="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BF355AD"/>
    <w:multiLevelType w:val="hybridMultilevel"/>
    <w:tmpl w:val="06DEE1C4"/>
    <w:lvl w:ilvl="0" w:tplc="0C0C0005">
      <w:start w:val="1"/>
      <w:numFmt w:val="bullet"/>
      <w:lvlText w:val=""/>
      <w:lvlJc w:val="left"/>
      <w:pPr>
        <w:ind w:left="784" w:hanging="360"/>
      </w:pPr>
      <w:rPr>
        <w:rFonts w:ascii="Wingdings" w:hAnsi="Wingdings" w:hint="default"/>
      </w:rPr>
    </w:lvl>
    <w:lvl w:ilvl="1" w:tplc="0C0C0003" w:tentative="1">
      <w:start w:val="1"/>
      <w:numFmt w:val="bullet"/>
      <w:lvlText w:val="o"/>
      <w:lvlJc w:val="left"/>
      <w:pPr>
        <w:ind w:left="1504" w:hanging="360"/>
      </w:pPr>
      <w:rPr>
        <w:rFonts w:ascii="Courier New" w:hAnsi="Courier New" w:cs="Courier New" w:hint="default"/>
      </w:rPr>
    </w:lvl>
    <w:lvl w:ilvl="2" w:tplc="0C0C0005" w:tentative="1">
      <w:start w:val="1"/>
      <w:numFmt w:val="bullet"/>
      <w:lvlText w:val=""/>
      <w:lvlJc w:val="left"/>
      <w:pPr>
        <w:ind w:left="2224" w:hanging="360"/>
      </w:pPr>
      <w:rPr>
        <w:rFonts w:ascii="Wingdings" w:hAnsi="Wingdings" w:hint="default"/>
      </w:rPr>
    </w:lvl>
    <w:lvl w:ilvl="3" w:tplc="0C0C0001" w:tentative="1">
      <w:start w:val="1"/>
      <w:numFmt w:val="bullet"/>
      <w:lvlText w:val=""/>
      <w:lvlJc w:val="left"/>
      <w:pPr>
        <w:ind w:left="2944" w:hanging="360"/>
      </w:pPr>
      <w:rPr>
        <w:rFonts w:ascii="Symbol" w:hAnsi="Symbol" w:hint="default"/>
      </w:rPr>
    </w:lvl>
    <w:lvl w:ilvl="4" w:tplc="0C0C0003" w:tentative="1">
      <w:start w:val="1"/>
      <w:numFmt w:val="bullet"/>
      <w:lvlText w:val="o"/>
      <w:lvlJc w:val="left"/>
      <w:pPr>
        <w:ind w:left="3664" w:hanging="360"/>
      </w:pPr>
      <w:rPr>
        <w:rFonts w:ascii="Courier New" w:hAnsi="Courier New" w:cs="Courier New" w:hint="default"/>
      </w:rPr>
    </w:lvl>
    <w:lvl w:ilvl="5" w:tplc="0C0C0005" w:tentative="1">
      <w:start w:val="1"/>
      <w:numFmt w:val="bullet"/>
      <w:lvlText w:val=""/>
      <w:lvlJc w:val="left"/>
      <w:pPr>
        <w:ind w:left="4384" w:hanging="360"/>
      </w:pPr>
      <w:rPr>
        <w:rFonts w:ascii="Wingdings" w:hAnsi="Wingdings" w:hint="default"/>
      </w:rPr>
    </w:lvl>
    <w:lvl w:ilvl="6" w:tplc="0C0C0001" w:tentative="1">
      <w:start w:val="1"/>
      <w:numFmt w:val="bullet"/>
      <w:lvlText w:val=""/>
      <w:lvlJc w:val="left"/>
      <w:pPr>
        <w:ind w:left="5104" w:hanging="360"/>
      </w:pPr>
      <w:rPr>
        <w:rFonts w:ascii="Symbol" w:hAnsi="Symbol" w:hint="default"/>
      </w:rPr>
    </w:lvl>
    <w:lvl w:ilvl="7" w:tplc="0C0C0003" w:tentative="1">
      <w:start w:val="1"/>
      <w:numFmt w:val="bullet"/>
      <w:lvlText w:val="o"/>
      <w:lvlJc w:val="left"/>
      <w:pPr>
        <w:ind w:left="5824" w:hanging="360"/>
      </w:pPr>
      <w:rPr>
        <w:rFonts w:ascii="Courier New" w:hAnsi="Courier New" w:cs="Courier New" w:hint="default"/>
      </w:rPr>
    </w:lvl>
    <w:lvl w:ilvl="8" w:tplc="0C0C0005" w:tentative="1">
      <w:start w:val="1"/>
      <w:numFmt w:val="bullet"/>
      <w:lvlText w:val=""/>
      <w:lvlJc w:val="left"/>
      <w:pPr>
        <w:ind w:left="6544" w:hanging="360"/>
      </w:pPr>
      <w:rPr>
        <w:rFonts w:ascii="Wingdings" w:hAnsi="Wingdings" w:hint="default"/>
      </w:rPr>
    </w:lvl>
  </w:abstractNum>
  <w:abstractNum w:abstractNumId="24" w15:restartNumberingAfterBreak="0">
    <w:nsid w:val="5C5D267D"/>
    <w:multiLevelType w:val="hybridMultilevel"/>
    <w:tmpl w:val="32D6958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5E0521CD"/>
    <w:multiLevelType w:val="hybridMultilevel"/>
    <w:tmpl w:val="DA1ABDC4"/>
    <w:lvl w:ilvl="0" w:tplc="0C0C0019">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606136C0"/>
    <w:multiLevelType w:val="hybridMultilevel"/>
    <w:tmpl w:val="2C68F056"/>
    <w:lvl w:ilvl="0" w:tplc="0C0C0011">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2970BC6"/>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5763C2F"/>
    <w:multiLevelType w:val="hybridMultilevel"/>
    <w:tmpl w:val="0A6C46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60F1923"/>
    <w:multiLevelType w:val="hybridMultilevel"/>
    <w:tmpl w:val="B15804F6"/>
    <w:lvl w:ilvl="0" w:tplc="79901088">
      <w:start w:val="1"/>
      <w:numFmt w:val="lowerLetter"/>
      <w:lvlText w:val="%1."/>
      <w:lvlJc w:val="left"/>
      <w:pPr>
        <w:ind w:left="1440" w:hanging="360"/>
      </w:pPr>
      <w:rPr>
        <w:rFonts w:hint="default"/>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30" w15:restartNumberingAfterBreak="0">
    <w:nsid w:val="669C4883"/>
    <w:multiLevelType w:val="hybridMultilevel"/>
    <w:tmpl w:val="53F2CE6A"/>
    <w:lvl w:ilvl="0" w:tplc="CFA4590C">
      <w:numFmt w:val="bullet"/>
      <w:lvlText w:val="–"/>
      <w:lvlJc w:val="left"/>
      <w:pPr>
        <w:ind w:left="720" w:hanging="360"/>
      </w:pPr>
      <w:rPr>
        <w:rFonts w:ascii="Calibri" w:eastAsiaTheme="minorHAnsi" w:hAnsi="Calibri" w:hint="default"/>
        <w:b/>
        <w:color w:val="61476D"/>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67556A4D"/>
    <w:multiLevelType w:val="hybridMultilevel"/>
    <w:tmpl w:val="93C42B4E"/>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6EBF57AC"/>
    <w:multiLevelType w:val="hybridMultilevel"/>
    <w:tmpl w:val="38CAF088"/>
    <w:lvl w:ilvl="0" w:tplc="0C0C0019">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7067020F"/>
    <w:multiLevelType w:val="hybridMultilevel"/>
    <w:tmpl w:val="46C0B6C0"/>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1866A26"/>
    <w:multiLevelType w:val="hybridMultilevel"/>
    <w:tmpl w:val="EDE0603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78826CC0"/>
    <w:multiLevelType w:val="hybridMultilevel"/>
    <w:tmpl w:val="838866AE"/>
    <w:lvl w:ilvl="0" w:tplc="0C0C000F">
      <w:start w:val="1"/>
      <w:numFmt w:val="decimal"/>
      <w:lvlText w:val="%1."/>
      <w:lvlJc w:val="left"/>
      <w:pPr>
        <w:ind w:left="1434" w:hanging="360"/>
      </w:pPr>
      <w:rPr>
        <w:rFonts w:hint="default"/>
      </w:rPr>
    </w:lvl>
    <w:lvl w:ilvl="1" w:tplc="0C0C0003" w:tentative="1">
      <w:start w:val="1"/>
      <w:numFmt w:val="bullet"/>
      <w:lvlText w:val="o"/>
      <w:lvlJc w:val="left"/>
      <w:pPr>
        <w:ind w:left="2154" w:hanging="360"/>
      </w:pPr>
      <w:rPr>
        <w:rFonts w:ascii="Courier New" w:hAnsi="Courier New" w:cs="Courier New" w:hint="default"/>
      </w:rPr>
    </w:lvl>
    <w:lvl w:ilvl="2" w:tplc="0C0C0005" w:tentative="1">
      <w:start w:val="1"/>
      <w:numFmt w:val="bullet"/>
      <w:lvlText w:val=""/>
      <w:lvlJc w:val="left"/>
      <w:pPr>
        <w:ind w:left="2874" w:hanging="360"/>
      </w:pPr>
      <w:rPr>
        <w:rFonts w:ascii="Wingdings" w:hAnsi="Wingdings" w:hint="default"/>
      </w:rPr>
    </w:lvl>
    <w:lvl w:ilvl="3" w:tplc="0C0C0001" w:tentative="1">
      <w:start w:val="1"/>
      <w:numFmt w:val="bullet"/>
      <w:lvlText w:val=""/>
      <w:lvlJc w:val="left"/>
      <w:pPr>
        <w:ind w:left="3594" w:hanging="360"/>
      </w:pPr>
      <w:rPr>
        <w:rFonts w:ascii="Symbol" w:hAnsi="Symbol" w:hint="default"/>
      </w:rPr>
    </w:lvl>
    <w:lvl w:ilvl="4" w:tplc="0C0C0003" w:tentative="1">
      <w:start w:val="1"/>
      <w:numFmt w:val="bullet"/>
      <w:lvlText w:val="o"/>
      <w:lvlJc w:val="left"/>
      <w:pPr>
        <w:ind w:left="4314" w:hanging="360"/>
      </w:pPr>
      <w:rPr>
        <w:rFonts w:ascii="Courier New" w:hAnsi="Courier New" w:cs="Courier New" w:hint="default"/>
      </w:rPr>
    </w:lvl>
    <w:lvl w:ilvl="5" w:tplc="0C0C0005" w:tentative="1">
      <w:start w:val="1"/>
      <w:numFmt w:val="bullet"/>
      <w:lvlText w:val=""/>
      <w:lvlJc w:val="left"/>
      <w:pPr>
        <w:ind w:left="5034" w:hanging="360"/>
      </w:pPr>
      <w:rPr>
        <w:rFonts w:ascii="Wingdings" w:hAnsi="Wingdings" w:hint="default"/>
      </w:rPr>
    </w:lvl>
    <w:lvl w:ilvl="6" w:tplc="0C0C0001" w:tentative="1">
      <w:start w:val="1"/>
      <w:numFmt w:val="bullet"/>
      <w:lvlText w:val=""/>
      <w:lvlJc w:val="left"/>
      <w:pPr>
        <w:ind w:left="5754" w:hanging="360"/>
      </w:pPr>
      <w:rPr>
        <w:rFonts w:ascii="Symbol" w:hAnsi="Symbol" w:hint="default"/>
      </w:rPr>
    </w:lvl>
    <w:lvl w:ilvl="7" w:tplc="0C0C0003" w:tentative="1">
      <w:start w:val="1"/>
      <w:numFmt w:val="bullet"/>
      <w:lvlText w:val="o"/>
      <w:lvlJc w:val="left"/>
      <w:pPr>
        <w:ind w:left="6474" w:hanging="360"/>
      </w:pPr>
      <w:rPr>
        <w:rFonts w:ascii="Courier New" w:hAnsi="Courier New" w:cs="Courier New" w:hint="default"/>
      </w:rPr>
    </w:lvl>
    <w:lvl w:ilvl="8" w:tplc="0C0C0005" w:tentative="1">
      <w:start w:val="1"/>
      <w:numFmt w:val="bullet"/>
      <w:lvlText w:val=""/>
      <w:lvlJc w:val="left"/>
      <w:pPr>
        <w:ind w:left="7194" w:hanging="360"/>
      </w:pPr>
      <w:rPr>
        <w:rFonts w:ascii="Wingdings" w:hAnsi="Wingdings" w:hint="default"/>
      </w:rPr>
    </w:lvl>
  </w:abstractNum>
  <w:abstractNum w:abstractNumId="36" w15:restartNumberingAfterBreak="0">
    <w:nsid w:val="7A2773BC"/>
    <w:multiLevelType w:val="hybridMultilevel"/>
    <w:tmpl w:val="63A05FF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7EB407C5"/>
    <w:multiLevelType w:val="multilevel"/>
    <w:tmpl w:val="F17CEA92"/>
    <w:lvl w:ilvl="0">
      <w:start w:val="1"/>
      <w:numFmt w:val="upperRoman"/>
      <w:lvlText w:val="%1."/>
      <w:lvlJc w:val="left"/>
      <w:pPr>
        <w:ind w:left="1080" w:hanging="720"/>
      </w:pPr>
      <w:rPr>
        <w:rFonts w:hint="default"/>
      </w:rPr>
    </w:lvl>
    <w:lvl w:ilvl="1">
      <w:start w:val="1"/>
      <w:numFmt w:val="decimal"/>
      <w:isLgl/>
      <w:lvlText w:val="%1.%2"/>
      <w:lvlJc w:val="left"/>
      <w:pPr>
        <w:ind w:left="1428" w:hanging="720"/>
      </w:pPr>
      <w:rPr>
        <w:rFonts w:hint="default"/>
        <w:b/>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3192" w:hanging="144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956" w:hanging="2160"/>
      </w:pPr>
      <w:rPr>
        <w:rFonts w:hint="default"/>
      </w:rPr>
    </w:lvl>
    <w:lvl w:ilvl="8">
      <w:start w:val="1"/>
      <w:numFmt w:val="decimal"/>
      <w:isLgl/>
      <w:lvlText w:val="%1.%2.%3.%4.%5.%6.%7.%8.%9"/>
      <w:lvlJc w:val="left"/>
      <w:pPr>
        <w:ind w:left="5304" w:hanging="2160"/>
      </w:pPr>
      <w:rPr>
        <w:rFonts w:hint="default"/>
      </w:rPr>
    </w:lvl>
  </w:abstractNum>
  <w:num w:numId="1">
    <w:abstractNumId w:val="2"/>
  </w:num>
  <w:num w:numId="2">
    <w:abstractNumId w:val="3"/>
  </w:num>
  <w:num w:numId="3">
    <w:abstractNumId w:val="7"/>
  </w:num>
  <w:num w:numId="4">
    <w:abstractNumId w:val="0"/>
  </w:num>
  <w:num w:numId="5">
    <w:abstractNumId w:val="21"/>
  </w:num>
  <w:num w:numId="6">
    <w:abstractNumId w:val="37"/>
  </w:num>
  <w:num w:numId="7">
    <w:abstractNumId w:val="15"/>
  </w:num>
  <w:num w:numId="8">
    <w:abstractNumId w:val="1"/>
  </w:num>
  <w:num w:numId="9">
    <w:abstractNumId w:val="31"/>
  </w:num>
  <w:num w:numId="10">
    <w:abstractNumId w:val="26"/>
  </w:num>
  <w:num w:numId="11">
    <w:abstractNumId w:val="32"/>
  </w:num>
  <w:num w:numId="12">
    <w:abstractNumId w:val="19"/>
  </w:num>
  <w:num w:numId="13">
    <w:abstractNumId w:val="30"/>
  </w:num>
  <w:num w:numId="14">
    <w:abstractNumId w:val="33"/>
  </w:num>
  <w:num w:numId="15">
    <w:abstractNumId w:val="23"/>
  </w:num>
  <w:num w:numId="16">
    <w:abstractNumId w:val="20"/>
  </w:num>
  <w:num w:numId="17">
    <w:abstractNumId w:val="13"/>
  </w:num>
  <w:num w:numId="18">
    <w:abstractNumId w:val="34"/>
  </w:num>
  <w:num w:numId="19">
    <w:abstractNumId w:val="16"/>
  </w:num>
  <w:num w:numId="20">
    <w:abstractNumId w:val="8"/>
  </w:num>
  <w:num w:numId="21">
    <w:abstractNumId w:val="6"/>
  </w:num>
  <w:num w:numId="22">
    <w:abstractNumId w:val="4"/>
  </w:num>
  <w:num w:numId="23">
    <w:abstractNumId w:val="11"/>
  </w:num>
  <w:num w:numId="24">
    <w:abstractNumId w:val="28"/>
  </w:num>
  <w:num w:numId="25">
    <w:abstractNumId w:val="27"/>
  </w:num>
  <w:num w:numId="26">
    <w:abstractNumId w:val="18"/>
  </w:num>
  <w:num w:numId="27">
    <w:abstractNumId w:val="29"/>
  </w:num>
  <w:num w:numId="28">
    <w:abstractNumId w:val="25"/>
  </w:num>
  <w:num w:numId="29">
    <w:abstractNumId w:val="0"/>
  </w:num>
  <w:num w:numId="30">
    <w:abstractNumId w:val="12"/>
  </w:num>
  <w:num w:numId="31">
    <w:abstractNumId w:val="14"/>
  </w:num>
  <w:num w:numId="32">
    <w:abstractNumId w:val="22"/>
  </w:num>
  <w:num w:numId="33">
    <w:abstractNumId w:val="0"/>
  </w:num>
  <w:num w:numId="34">
    <w:abstractNumId w:val="35"/>
  </w:num>
  <w:num w:numId="35">
    <w:abstractNumId w:val="0"/>
  </w:num>
  <w:num w:numId="36">
    <w:abstractNumId w:val="17"/>
  </w:num>
  <w:num w:numId="37">
    <w:abstractNumId w:val="0"/>
  </w:num>
  <w:num w:numId="38">
    <w:abstractNumId w:val="24"/>
  </w:num>
  <w:num w:numId="39">
    <w:abstractNumId w:val="0"/>
  </w:num>
  <w:num w:numId="40">
    <w:abstractNumId w:val="10"/>
  </w:num>
  <w:num w:numId="41">
    <w:abstractNumId w:val="0"/>
  </w:num>
  <w:num w:numId="42">
    <w:abstractNumId w:val="5"/>
  </w:num>
  <w:num w:numId="43">
    <w:abstractNumId w:val="36"/>
  </w:num>
  <w:num w:numId="44">
    <w:abstractNumId w:val="0"/>
  </w:num>
  <w:num w:numId="45">
    <w:abstractNumId w:val="0"/>
  </w:num>
  <w:num w:numId="46">
    <w:abstractNumId w:val="9"/>
  </w:num>
  <w:num w:numId="47">
    <w:abstractNumId w:val="0"/>
  </w:num>
  <w:num w:numId="48">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EC9"/>
    <w:rsid w:val="00013CF8"/>
    <w:rsid w:val="000146B6"/>
    <w:rsid w:val="00014D49"/>
    <w:rsid w:val="00017ED4"/>
    <w:rsid w:val="00023FC9"/>
    <w:rsid w:val="000278AF"/>
    <w:rsid w:val="00041E32"/>
    <w:rsid w:val="00072D18"/>
    <w:rsid w:val="000840B6"/>
    <w:rsid w:val="00085BE8"/>
    <w:rsid w:val="0009138B"/>
    <w:rsid w:val="000A23AE"/>
    <w:rsid w:val="000C05DA"/>
    <w:rsid w:val="000C30C2"/>
    <w:rsid w:val="000C3B9C"/>
    <w:rsid w:val="000E1580"/>
    <w:rsid w:val="000E56B5"/>
    <w:rsid w:val="000F2741"/>
    <w:rsid w:val="000F52FB"/>
    <w:rsid w:val="000F5FC0"/>
    <w:rsid w:val="000F7ADC"/>
    <w:rsid w:val="00101F13"/>
    <w:rsid w:val="00105191"/>
    <w:rsid w:val="001171F9"/>
    <w:rsid w:val="0012252F"/>
    <w:rsid w:val="001519F3"/>
    <w:rsid w:val="00155B22"/>
    <w:rsid w:val="001565C1"/>
    <w:rsid w:val="001575BF"/>
    <w:rsid w:val="00160316"/>
    <w:rsid w:val="00165DFB"/>
    <w:rsid w:val="00166780"/>
    <w:rsid w:val="00172882"/>
    <w:rsid w:val="00186552"/>
    <w:rsid w:val="001A1BF0"/>
    <w:rsid w:val="001B010A"/>
    <w:rsid w:val="001B373F"/>
    <w:rsid w:val="001B4DFB"/>
    <w:rsid w:val="001C1466"/>
    <w:rsid w:val="001C2E5A"/>
    <w:rsid w:val="001D047D"/>
    <w:rsid w:val="001D521B"/>
    <w:rsid w:val="001E612F"/>
    <w:rsid w:val="002014DF"/>
    <w:rsid w:val="00201A70"/>
    <w:rsid w:val="00202844"/>
    <w:rsid w:val="00203B81"/>
    <w:rsid w:val="00206BDB"/>
    <w:rsid w:val="002311B0"/>
    <w:rsid w:val="00242FC6"/>
    <w:rsid w:val="002432EF"/>
    <w:rsid w:val="00246975"/>
    <w:rsid w:val="002511DA"/>
    <w:rsid w:val="00251D8C"/>
    <w:rsid w:val="0025632F"/>
    <w:rsid w:val="00257AEF"/>
    <w:rsid w:val="002609D8"/>
    <w:rsid w:val="0026510B"/>
    <w:rsid w:val="0027057A"/>
    <w:rsid w:val="0027081E"/>
    <w:rsid w:val="00283AFB"/>
    <w:rsid w:val="0028668F"/>
    <w:rsid w:val="002869B0"/>
    <w:rsid w:val="00292894"/>
    <w:rsid w:val="002943D3"/>
    <w:rsid w:val="002B4D8B"/>
    <w:rsid w:val="002C0312"/>
    <w:rsid w:val="002C3E83"/>
    <w:rsid w:val="002C47E0"/>
    <w:rsid w:val="002D2041"/>
    <w:rsid w:val="002D2203"/>
    <w:rsid w:val="002D430C"/>
    <w:rsid w:val="002E3537"/>
    <w:rsid w:val="002E6D27"/>
    <w:rsid w:val="002F7D05"/>
    <w:rsid w:val="00316D40"/>
    <w:rsid w:val="00321F63"/>
    <w:rsid w:val="00343508"/>
    <w:rsid w:val="0034450C"/>
    <w:rsid w:val="00362142"/>
    <w:rsid w:val="003643DF"/>
    <w:rsid w:val="00377991"/>
    <w:rsid w:val="003853DC"/>
    <w:rsid w:val="003A50BD"/>
    <w:rsid w:val="003A5F05"/>
    <w:rsid w:val="003A6676"/>
    <w:rsid w:val="003A6765"/>
    <w:rsid w:val="003B1A9B"/>
    <w:rsid w:val="003E019F"/>
    <w:rsid w:val="003E13EB"/>
    <w:rsid w:val="003E2763"/>
    <w:rsid w:val="003E4D8F"/>
    <w:rsid w:val="003E776A"/>
    <w:rsid w:val="003F256A"/>
    <w:rsid w:val="003F73E5"/>
    <w:rsid w:val="00401D1B"/>
    <w:rsid w:val="00410843"/>
    <w:rsid w:val="0042098D"/>
    <w:rsid w:val="004223D2"/>
    <w:rsid w:val="00422563"/>
    <w:rsid w:val="004313DE"/>
    <w:rsid w:val="00435C4D"/>
    <w:rsid w:val="00444EF2"/>
    <w:rsid w:val="004468DE"/>
    <w:rsid w:val="004509C6"/>
    <w:rsid w:val="00451A00"/>
    <w:rsid w:val="00451EEE"/>
    <w:rsid w:val="0045680C"/>
    <w:rsid w:val="00460423"/>
    <w:rsid w:val="00464307"/>
    <w:rsid w:val="00465E10"/>
    <w:rsid w:val="0046645B"/>
    <w:rsid w:val="00467B73"/>
    <w:rsid w:val="004709E3"/>
    <w:rsid w:val="0047313D"/>
    <w:rsid w:val="004867FA"/>
    <w:rsid w:val="004A1AE7"/>
    <w:rsid w:val="004A3291"/>
    <w:rsid w:val="004A50F5"/>
    <w:rsid w:val="004A63B7"/>
    <w:rsid w:val="004B68B8"/>
    <w:rsid w:val="004C6EDF"/>
    <w:rsid w:val="004D701D"/>
    <w:rsid w:val="004D7058"/>
    <w:rsid w:val="004E558C"/>
    <w:rsid w:val="004F5DB3"/>
    <w:rsid w:val="004F702E"/>
    <w:rsid w:val="0050551D"/>
    <w:rsid w:val="00513138"/>
    <w:rsid w:val="00520865"/>
    <w:rsid w:val="00522C9C"/>
    <w:rsid w:val="00536B63"/>
    <w:rsid w:val="00553862"/>
    <w:rsid w:val="00553A83"/>
    <w:rsid w:val="005552BC"/>
    <w:rsid w:val="0057226D"/>
    <w:rsid w:val="00573A47"/>
    <w:rsid w:val="00577C71"/>
    <w:rsid w:val="005A0390"/>
    <w:rsid w:val="005A4C66"/>
    <w:rsid w:val="005B0FA2"/>
    <w:rsid w:val="005B21C1"/>
    <w:rsid w:val="005B7427"/>
    <w:rsid w:val="005C3E61"/>
    <w:rsid w:val="005D2C7F"/>
    <w:rsid w:val="005D2D9A"/>
    <w:rsid w:val="005F7B45"/>
    <w:rsid w:val="00632BCF"/>
    <w:rsid w:val="006473A1"/>
    <w:rsid w:val="006570C3"/>
    <w:rsid w:val="00662DE2"/>
    <w:rsid w:val="00663DAC"/>
    <w:rsid w:val="00675066"/>
    <w:rsid w:val="006817D6"/>
    <w:rsid w:val="00684A85"/>
    <w:rsid w:val="0069464F"/>
    <w:rsid w:val="006B01CD"/>
    <w:rsid w:val="006B11BF"/>
    <w:rsid w:val="006B5275"/>
    <w:rsid w:val="006B6B11"/>
    <w:rsid w:val="006C71A9"/>
    <w:rsid w:val="006C7856"/>
    <w:rsid w:val="006C7CED"/>
    <w:rsid w:val="006D0747"/>
    <w:rsid w:val="006D13D1"/>
    <w:rsid w:val="006D3EC9"/>
    <w:rsid w:val="006D7F3B"/>
    <w:rsid w:val="006E791A"/>
    <w:rsid w:val="006F21E0"/>
    <w:rsid w:val="00704A52"/>
    <w:rsid w:val="0070656D"/>
    <w:rsid w:val="00722BE6"/>
    <w:rsid w:val="00735D4A"/>
    <w:rsid w:val="00737BE6"/>
    <w:rsid w:val="007458AE"/>
    <w:rsid w:val="00755314"/>
    <w:rsid w:val="007662D5"/>
    <w:rsid w:val="00772432"/>
    <w:rsid w:val="00786844"/>
    <w:rsid w:val="007911BD"/>
    <w:rsid w:val="007938F5"/>
    <w:rsid w:val="00795426"/>
    <w:rsid w:val="007B563E"/>
    <w:rsid w:val="007B7892"/>
    <w:rsid w:val="007C3583"/>
    <w:rsid w:val="007E6F43"/>
    <w:rsid w:val="007E76C6"/>
    <w:rsid w:val="007F70E2"/>
    <w:rsid w:val="00804B3C"/>
    <w:rsid w:val="008177FA"/>
    <w:rsid w:val="00821C5F"/>
    <w:rsid w:val="0082347E"/>
    <w:rsid w:val="00824BFE"/>
    <w:rsid w:val="0084380D"/>
    <w:rsid w:val="008507E3"/>
    <w:rsid w:val="00853030"/>
    <w:rsid w:val="00857157"/>
    <w:rsid w:val="008620F8"/>
    <w:rsid w:val="008631D6"/>
    <w:rsid w:val="00893652"/>
    <w:rsid w:val="008A3753"/>
    <w:rsid w:val="008B0389"/>
    <w:rsid w:val="008B1091"/>
    <w:rsid w:val="008D0A47"/>
    <w:rsid w:val="008D1C0B"/>
    <w:rsid w:val="008D271A"/>
    <w:rsid w:val="008D6804"/>
    <w:rsid w:val="008E4701"/>
    <w:rsid w:val="008F58C5"/>
    <w:rsid w:val="008F5EC5"/>
    <w:rsid w:val="008F74BF"/>
    <w:rsid w:val="00903B71"/>
    <w:rsid w:val="0090444F"/>
    <w:rsid w:val="00907988"/>
    <w:rsid w:val="0091193B"/>
    <w:rsid w:val="00913252"/>
    <w:rsid w:val="009162F3"/>
    <w:rsid w:val="00920A5C"/>
    <w:rsid w:val="009266E1"/>
    <w:rsid w:val="0094067F"/>
    <w:rsid w:val="00970229"/>
    <w:rsid w:val="0097339F"/>
    <w:rsid w:val="00974F44"/>
    <w:rsid w:val="009806E2"/>
    <w:rsid w:val="009830BC"/>
    <w:rsid w:val="00991982"/>
    <w:rsid w:val="00993BFC"/>
    <w:rsid w:val="00995518"/>
    <w:rsid w:val="009B1E0F"/>
    <w:rsid w:val="009B230D"/>
    <w:rsid w:val="009B33D6"/>
    <w:rsid w:val="009B438A"/>
    <w:rsid w:val="009C0B88"/>
    <w:rsid w:val="009C3E43"/>
    <w:rsid w:val="009F21BF"/>
    <w:rsid w:val="009F7C89"/>
    <w:rsid w:val="00A11D05"/>
    <w:rsid w:val="00A12B8D"/>
    <w:rsid w:val="00A1438D"/>
    <w:rsid w:val="00A311F6"/>
    <w:rsid w:val="00A31C00"/>
    <w:rsid w:val="00A350C7"/>
    <w:rsid w:val="00A42512"/>
    <w:rsid w:val="00A45A0A"/>
    <w:rsid w:val="00A529F0"/>
    <w:rsid w:val="00A5507D"/>
    <w:rsid w:val="00A77E6E"/>
    <w:rsid w:val="00AB2D7E"/>
    <w:rsid w:val="00AB56AF"/>
    <w:rsid w:val="00AD1F06"/>
    <w:rsid w:val="00AE075C"/>
    <w:rsid w:val="00AE1598"/>
    <w:rsid w:val="00AE1E9D"/>
    <w:rsid w:val="00AF6B34"/>
    <w:rsid w:val="00B14373"/>
    <w:rsid w:val="00B15274"/>
    <w:rsid w:val="00B23C2F"/>
    <w:rsid w:val="00B24349"/>
    <w:rsid w:val="00B354AC"/>
    <w:rsid w:val="00B46D26"/>
    <w:rsid w:val="00B5466E"/>
    <w:rsid w:val="00B64196"/>
    <w:rsid w:val="00B74ACB"/>
    <w:rsid w:val="00B755E9"/>
    <w:rsid w:val="00B76FC2"/>
    <w:rsid w:val="00B80487"/>
    <w:rsid w:val="00B93596"/>
    <w:rsid w:val="00B93836"/>
    <w:rsid w:val="00B9599A"/>
    <w:rsid w:val="00B9760A"/>
    <w:rsid w:val="00BA1C8A"/>
    <w:rsid w:val="00BA6B7F"/>
    <w:rsid w:val="00BA7FEC"/>
    <w:rsid w:val="00BB5C68"/>
    <w:rsid w:val="00BB7727"/>
    <w:rsid w:val="00BC3BA0"/>
    <w:rsid w:val="00BE1656"/>
    <w:rsid w:val="00BE4B0F"/>
    <w:rsid w:val="00BF23D3"/>
    <w:rsid w:val="00BF739A"/>
    <w:rsid w:val="00C0205D"/>
    <w:rsid w:val="00C0224F"/>
    <w:rsid w:val="00C06BF4"/>
    <w:rsid w:val="00C078A8"/>
    <w:rsid w:val="00C10F51"/>
    <w:rsid w:val="00C12855"/>
    <w:rsid w:val="00C16A43"/>
    <w:rsid w:val="00C30ABC"/>
    <w:rsid w:val="00C31348"/>
    <w:rsid w:val="00C32173"/>
    <w:rsid w:val="00C3317F"/>
    <w:rsid w:val="00C56579"/>
    <w:rsid w:val="00C71640"/>
    <w:rsid w:val="00C8121F"/>
    <w:rsid w:val="00C86B2E"/>
    <w:rsid w:val="00C86CBD"/>
    <w:rsid w:val="00CA3FE8"/>
    <w:rsid w:val="00CC567B"/>
    <w:rsid w:val="00CC580D"/>
    <w:rsid w:val="00CD6730"/>
    <w:rsid w:val="00CE33FD"/>
    <w:rsid w:val="00CE56FB"/>
    <w:rsid w:val="00CF6B59"/>
    <w:rsid w:val="00D0126E"/>
    <w:rsid w:val="00D0484F"/>
    <w:rsid w:val="00D101F6"/>
    <w:rsid w:val="00D1141F"/>
    <w:rsid w:val="00D15968"/>
    <w:rsid w:val="00D3385D"/>
    <w:rsid w:val="00D36C36"/>
    <w:rsid w:val="00D3715F"/>
    <w:rsid w:val="00D56461"/>
    <w:rsid w:val="00D566A8"/>
    <w:rsid w:val="00D67AEC"/>
    <w:rsid w:val="00D75258"/>
    <w:rsid w:val="00D75592"/>
    <w:rsid w:val="00D77E73"/>
    <w:rsid w:val="00D80022"/>
    <w:rsid w:val="00D80F05"/>
    <w:rsid w:val="00D90C87"/>
    <w:rsid w:val="00D94BC1"/>
    <w:rsid w:val="00DA25FA"/>
    <w:rsid w:val="00DA2818"/>
    <w:rsid w:val="00DB0B0D"/>
    <w:rsid w:val="00DB1CFA"/>
    <w:rsid w:val="00DC7749"/>
    <w:rsid w:val="00DD1C2F"/>
    <w:rsid w:val="00DE1ADD"/>
    <w:rsid w:val="00DF4CFA"/>
    <w:rsid w:val="00DF5B91"/>
    <w:rsid w:val="00DF6FDF"/>
    <w:rsid w:val="00E00477"/>
    <w:rsid w:val="00E051C3"/>
    <w:rsid w:val="00E13629"/>
    <w:rsid w:val="00E14B0D"/>
    <w:rsid w:val="00E21199"/>
    <w:rsid w:val="00E219FB"/>
    <w:rsid w:val="00E22332"/>
    <w:rsid w:val="00E24FDC"/>
    <w:rsid w:val="00E27B92"/>
    <w:rsid w:val="00E27C99"/>
    <w:rsid w:val="00E32776"/>
    <w:rsid w:val="00E42255"/>
    <w:rsid w:val="00E51083"/>
    <w:rsid w:val="00E51CF3"/>
    <w:rsid w:val="00E541A9"/>
    <w:rsid w:val="00E54490"/>
    <w:rsid w:val="00E54827"/>
    <w:rsid w:val="00E6175B"/>
    <w:rsid w:val="00E679CB"/>
    <w:rsid w:val="00E857F9"/>
    <w:rsid w:val="00E948DB"/>
    <w:rsid w:val="00E976D7"/>
    <w:rsid w:val="00EA6BFE"/>
    <w:rsid w:val="00EA77E4"/>
    <w:rsid w:val="00EB36AD"/>
    <w:rsid w:val="00EB59B5"/>
    <w:rsid w:val="00EB7011"/>
    <w:rsid w:val="00EB7731"/>
    <w:rsid w:val="00EC00B5"/>
    <w:rsid w:val="00EC5A7D"/>
    <w:rsid w:val="00EF0CCA"/>
    <w:rsid w:val="00F01CFE"/>
    <w:rsid w:val="00F03D72"/>
    <w:rsid w:val="00F328B7"/>
    <w:rsid w:val="00F357E5"/>
    <w:rsid w:val="00F43EDA"/>
    <w:rsid w:val="00F45788"/>
    <w:rsid w:val="00F6070D"/>
    <w:rsid w:val="00F61B5E"/>
    <w:rsid w:val="00F7015B"/>
    <w:rsid w:val="00F7116B"/>
    <w:rsid w:val="00F74CB8"/>
    <w:rsid w:val="00F7541D"/>
    <w:rsid w:val="00F76B45"/>
    <w:rsid w:val="00F815A3"/>
    <w:rsid w:val="00F82603"/>
    <w:rsid w:val="00F9644D"/>
    <w:rsid w:val="00FA115C"/>
    <w:rsid w:val="00FA6537"/>
    <w:rsid w:val="00FA6549"/>
    <w:rsid w:val="00FB2A3E"/>
    <w:rsid w:val="00FB5400"/>
    <w:rsid w:val="00FC124D"/>
    <w:rsid w:val="00FC6901"/>
    <w:rsid w:val="00FD37E8"/>
    <w:rsid w:val="00FE0EE7"/>
    <w:rsid w:val="00FE75D8"/>
    <w:rsid w:val="00FF073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997EA9"/>
  <w15:chartTrackingRefBased/>
  <w15:docId w15:val="{17499B40-4E7B-415F-AEF8-C5D2B7E4B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490"/>
    <w:pPr>
      <w:jc w:val="both"/>
    </w:pPr>
    <w:rPr>
      <w:rFonts w:ascii="Arial" w:hAnsi="Arial"/>
    </w:rPr>
  </w:style>
  <w:style w:type="paragraph" w:styleId="Titre1">
    <w:name w:val="heading 1"/>
    <w:basedOn w:val="Normal"/>
    <w:next w:val="Normal"/>
    <w:link w:val="Titre1Car"/>
    <w:uiPriority w:val="9"/>
    <w:qFormat/>
    <w:rsid w:val="001171F9"/>
    <w:pPr>
      <w:numPr>
        <w:numId w:val="4"/>
      </w:numPr>
      <w:spacing w:after="0"/>
      <w:ind w:right="6"/>
      <w:contextualSpacing/>
      <w:jc w:val="left"/>
      <w:outlineLvl w:val="0"/>
    </w:pPr>
    <w:rPr>
      <w:rFonts w:ascii="Raleway Light" w:eastAsiaTheme="majorEastAsia" w:hAnsi="Raleway Light" w:cstheme="majorBidi"/>
      <w:color w:val="324D72"/>
      <w:spacing w:val="-10"/>
      <w:position w:val="-12"/>
      <w:sz w:val="60"/>
      <w:szCs w:val="60"/>
    </w:rPr>
  </w:style>
  <w:style w:type="paragraph" w:styleId="Titre2">
    <w:name w:val="heading 2"/>
    <w:basedOn w:val="Normal"/>
    <w:next w:val="Normal"/>
    <w:link w:val="Titre2Car"/>
    <w:uiPriority w:val="9"/>
    <w:unhideWhenUsed/>
    <w:qFormat/>
    <w:rsid w:val="00F43EDA"/>
    <w:pPr>
      <w:keepNext/>
      <w:keepLines/>
      <w:numPr>
        <w:ilvl w:val="1"/>
        <w:numId w:val="4"/>
      </w:numPr>
      <w:spacing w:before="280" w:after="0"/>
      <w:jc w:val="left"/>
      <w:outlineLvl w:val="1"/>
    </w:pPr>
    <w:rPr>
      <w:rFonts w:ascii="Raleway" w:eastAsiaTheme="majorEastAsia" w:hAnsi="Raleway" w:cstheme="majorBidi"/>
      <w:b/>
      <w:color w:val="2F5496" w:themeColor="accent1" w:themeShade="BF"/>
      <w:sz w:val="32"/>
      <w:szCs w:val="26"/>
    </w:rPr>
  </w:style>
  <w:style w:type="paragraph" w:styleId="Titre3">
    <w:name w:val="heading 3"/>
    <w:basedOn w:val="Normal"/>
    <w:next w:val="Normal"/>
    <w:link w:val="Titre3Car"/>
    <w:uiPriority w:val="9"/>
    <w:unhideWhenUsed/>
    <w:qFormat/>
    <w:rsid w:val="00B5466E"/>
    <w:pPr>
      <w:keepNext/>
      <w:keepLines/>
      <w:jc w:val="left"/>
      <w:outlineLvl w:val="2"/>
    </w:pPr>
    <w:rPr>
      <w:rFonts w:ascii="Arial Narrow" w:eastAsiaTheme="majorEastAsia" w:hAnsi="Arial Narrow" w:cstheme="majorBidi"/>
      <w:b/>
      <w:color w:val="25ACC1"/>
      <w:sz w:val="32"/>
      <w:szCs w:val="24"/>
    </w:rPr>
  </w:style>
  <w:style w:type="paragraph" w:styleId="Titre4">
    <w:name w:val="heading 4"/>
    <w:basedOn w:val="Normal"/>
    <w:next w:val="Normal"/>
    <w:link w:val="Titre4Car"/>
    <w:uiPriority w:val="9"/>
    <w:semiHidden/>
    <w:unhideWhenUsed/>
    <w:qFormat/>
    <w:rsid w:val="00F43EDA"/>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AB56AF"/>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F43EDA"/>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F43EDA"/>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F43EDA"/>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43EDA"/>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itredulivre">
    <w:name w:val="Book Title"/>
    <w:basedOn w:val="Policepardfaut"/>
    <w:uiPriority w:val="33"/>
    <w:qFormat/>
    <w:rsid w:val="009B438A"/>
    <w:rPr>
      <w:b/>
      <w:bCs/>
      <w:i/>
      <w:iCs/>
      <w:spacing w:val="5"/>
    </w:rPr>
  </w:style>
  <w:style w:type="paragraph" w:customStyle="1" w:styleId="TABLEAUTitre">
    <w:name w:val="TABLEAU Titre"/>
    <w:basedOn w:val="TitreTableau"/>
    <w:qFormat/>
    <w:rsid w:val="002869B0"/>
  </w:style>
  <w:style w:type="paragraph" w:styleId="En-tte">
    <w:name w:val="header"/>
    <w:basedOn w:val="Normal"/>
    <w:link w:val="En-tteCar"/>
    <w:uiPriority w:val="99"/>
    <w:unhideWhenUsed/>
    <w:rsid w:val="00C10F51"/>
    <w:pPr>
      <w:tabs>
        <w:tab w:val="center" w:pos="4320"/>
        <w:tab w:val="right" w:pos="8640"/>
      </w:tabs>
      <w:spacing w:after="0"/>
    </w:pPr>
  </w:style>
  <w:style w:type="character" w:customStyle="1" w:styleId="En-tteCar">
    <w:name w:val="En-tête Car"/>
    <w:basedOn w:val="Policepardfaut"/>
    <w:link w:val="En-tte"/>
    <w:uiPriority w:val="99"/>
    <w:rsid w:val="00C10F51"/>
    <w:rPr>
      <w:rFonts w:ascii="Arial" w:hAnsi="Arial"/>
    </w:rPr>
  </w:style>
  <w:style w:type="paragraph" w:styleId="Pieddepage">
    <w:name w:val="footer"/>
    <w:basedOn w:val="Normal"/>
    <w:link w:val="PieddepageCar"/>
    <w:uiPriority w:val="99"/>
    <w:unhideWhenUsed/>
    <w:rsid w:val="00C10F51"/>
    <w:pPr>
      <w:tabs>
        <w:tab w:val="center" w:pos="4320"/>
        <w:tab w:val="right" w:pos="8640"/>
      </w:tabs>
      <w:spacing w:after="0"/>
    </w:pPr>
  </w:style>
  <w:style w:type="character" w:customStyle="1" w:styleId="PieddepageCar">
    <w:name w:val="Pied de page Car"/>
    <w:basedOn w:val="Policepardfaut"/>
    <w:link w:val="Pieddepage"/>
    <w:uiPriority w:val="99"/>
    <w:rsid w:val="00C10F51"/>
    <w:rPr>
      <w:rFonts w:ascii="Arial" w:hAnsi="Arial"/>
    </w:rPr>
  </w:style>
  <w:style w:type="character" w:styleId="Lienhypertexte">
    <w:name w:val="Hyperlink"/>
    <w:basedOn w:val="Policepardfaut"/>
    <w:uiPriority w:val="99"/>
    <w:unhideWhenUsed/>
    <w:rsid w:val="00AB56AF"/>
    <w:rPr>
      <w:rFonts w:ascii="Arial" w:hAnsi="Arial"/>
      <w:b w:val="0"/>
      <w:i w:val="0"/>
      <w:color w:val="1BA392"/>
      <w:u w:val="single"/>
    </w:rPr>
  </w:style>
  <w:style w:type="paragraph" w:customStyle="1" w:styleId="Texteboites">
    <w:name w:val="Texte boites"/>
    <w:basedOn w:val="Titre5"/>
    <w:qFormat/>
    <w:rsid w:val="00AB56AF"/>
    <w:pPr>
      <w:spacing w:before="240" w:after="240" w:line="320" w:lineRule="exact"/>
    </w:pPr>
    <w:rPr>
      <w:rFonts w:ascii="Arial Narrow" w:hAnsi="Arial Narrow"/>
      <w:b/>
      <w:color w:val="FFFFFF" w:themeColor="background1"/>
      <w:sz w:val="28"/>
      <w:szCs w:val="24"/>
    </w:rPr>
  </w:style>
  <w:style w:type="character" w:customStyle="1" w:styleId="Titre5Car">
    <w:name w:val="Titre 5 Car"/>
    <w:basedOn w:val="Policepardfaut"/>
    <w:link w:val="Titre5"/>
    <w:uiPriority w:val="9"/>
    <w:semiHidden/>
    <w:rsid w:val="00AB56AF"/>
    <w:rPr>
      <w:rFonts w:asciiTheme="majorHAnsi" w:eastAsiaTheme="majorEastAsia" w:hAnsiTheme="majorHAnsi" w:cstheme="majorBidi"/>
      <w:color w:val="2F5496" w:themeColor="accent1" w:themeShade="BF"/>
    </w:rPr>
  </w:style>
  <w:style w:type="paragraph" w:customStyle="1" w:styleId="encadre">
    <w:name w:val="encadre"/>
    <w:basedOn w:val="Normal"/>
    <w:link w:val="encadreCar"/>
    <w:qFormat/>
    <w:rsid w:val="005B7427"/>
    <w:pPr>
      <w:spacing w:before="240"/>
    </w:pPr>
    <w:rPr>
      <w:rFonts w:ascii="Arial Narrow" w:hAnsi="Arial Narrow"/>
      <w:b/>
      <w:color w:val="FFFFFF" w:themeColor="background1"/>
      <w:sz w:val="32"/>
    </w:rPr>
  </w:style>
  <w:style w:type="character" w:customStyle="1" w:styleId="Titre3Car">
    <w:name w:val="Titre 3 Car"/>
    <w:basedOn w:val="Policepardfaut"/>
    <w:link w:val="Titre3"/>
    <w:uiPriority w:val="9"/>
    <w:rsid w:val="00316D40"/>
    <w:rPr>
      <w:rFonts w:ascii="Arial Narrow" w:eastAsiaTheme="majorEastAsia" w:hAnsi="Arial Narrow" w:cstheme="majorBidi"/>
      <w:b/>
      <w:color w:val="25ACC1"/>
      <w:sz w:val="32"/>
      <w:szCs w:val="24"/>
    </w:rPr>
  </w:style>
  <w:style w:type="character" w:customStyle="1" w:styleId="encadreCar">
    <w:name w:val="encadre Car"/>
    <w:basedOn w:val="Policepardfaut"/>
    <w:link w:val="encadre"/>
    <w:rsid w:val="005B7427"/>
    <w:rPr>
      <w:rFonts w:ascii="Arial Narrow" w:hAnsi="Arial Narrow"/>
      <w:b/>
      <w:color w:val="FFFFFF" w:themeColor="background1"/>
      <w:sz w:val="32"/>
    </w:rPr>
  </w:style>
  <w:style w:type="character" w:customStyle="1" w:styleId="Titre1Car">
    <w:name w:val="Titre 1 Car"/>
    <w:basedOn w:val="Policepardfaut"/>
    <w:link w:val="Titre1"/>
    <w:uiPriority w:val="9"/>
    <w:rsid w:val="00F43EDA"/>
    <w:rPr>
      <w:rFonts w:ascii="Raleway Light" w:eastAsiaTheme="majorEastAsia" w:hAnsi="Raleway Light" w:cstheme="majorBidi"/>
      <w:color w:val="324D72"/>
      <w:spacing w:val="-10"/>
      <w:position w:val="-12"/>
      <w:sz w:val="60"/>
      <w:szCs w:val="60"/>
    </w:rPr>
  </w:style>
  <w:style w:type="paragraph" w:styleId="Paragraphedeliste">
    <w:name w:val="List Paragraph"/>
    <w:basedOn w:val="Normal"/>
    <w:uiPriority w:val="34"/>
    <w:qFormat/>
    <w:rsid w:val="00F61B5E"/>
    <w:pPr>
      <w:spacing w:after="200" w:line="276" w:lineRule="auto"/>
      <w:ind w:left="720"/>
      <w:contextualSpacing/>
    </w:pPr>
    <w:rPr>
      <w:szCs w:val="24"/>
    </w:rPr>
  </w:style>
  <w:style w:type="character" w:customStyle="1" w:styleId="Titre2Car">
    <w:name w:val="Titre 2 Car"/>
    <w:basedOn w:val="Policepardfaut"/>
    <w:link w:val="Titre2"/>
    <w:uiPriority w:val="9"/>
    <w:rsid w:val="00F43EDA"/>
    <w:rPr>
      <w:rFonts w:ascii="Raleway" w:eastAsiaTheme="majorEastAsia" w:hAnsi="Raleway" w:cstheme="majorBidi"/>
      <w:b/>
      <w:color w:val="2F5496" w:themeColor="accent1" w:themeShade="BF"/>
      <w:sz w:val="32"/>
      <w:szCs w:val="26"/>
    </w:rPr>
  </w:style>
  <w:style w:type="paragraph" w:styleId="Sansinterligne">
    <w:name w:val="No Spacing"/>
    <w:link w:val="SansinterligneCar"/>
    <w:uiPriority w:val="1"/>
    <w:qFormat/>
    <w:rsid w:val="00577C71"/>
    <w:pPr>
      <w:spacing w:after="0"/>
    </w:pPr>
    <w:rPr>
      <w:rFonts w:ascii="Bookman Old Style" w:hAnsi="Bookman Old Style"/>
      <w:sz w:val="24"/>
      <w:szCs w:val="24"/>
    </w:rPr>
  </w:style>
  <w:style w:type="character" w:customStyle="1" w:styleId="SansinterligneCar">
    <w:name w:val="Sans interligne Car"/>
    <w:basedOn w:val="Policepardfaut"/>
    <w:link w:val="Sansinterligne"/>
    <w:uiPriority w:val="1"/>
    <w:rsid w:val="00577C71"/>
    <w:rPr>
      <w:rFonts w:ascii="Bookman Old Style" w:hAnsi="Bookman Old Style"/>
      <w:sz w:val="24"/>
      <w:szCs w:val="24"/>
    </w:rPr>
  </w:style>
  <w:style w:type="paragraph" w:styleId="Textedebulles">
    <w:name w:val="Balloon Text"/>
    <w:basedOn w:val="Normal"/>
    <w:link w:val="TextedebullesCar"/>
    <w:uiPriority w:val="99"/>
    <w:semiHidden/>
    <w:unhideWhenUsed/>
    <w:rsid w:val="00F61B5E"/>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61B5E"/>
    <w:rPr>
      <w:rFonts w:ascii="Segoe UI" w:hAnsi="Segoe UI" w:cs="Segoe UI"/>
      <w:sz w:val="18"/>
      <w:szCs w:val="18"/>
    </w:rPr>
  </w:style>
  <w:style w:type="character" w:customStyle="1" w:styleId="titreblanc">
    <w:name w:val="titre blanc"/>
    <w:basedOn w:val="Policepardfaut"/>
    <w:uiPriority w:val="1"/>
    <w:qFormat/>
    <w:rsid w:val="00CE33FD"/>
    <w:rPr>
      <w:rFonts w:ascii="Roboto Condensed" w:hAnsi="Roboto Condensed"/>
      <w:b/>
      <w:color w:val="FFFFFF" w:themeColor="background1"/>
      <w:sz w:val="36"/>
    </w:rPr>
  </w:style>
  <w:style w:type="character" w:styleId="Marquedecommentaire">
    <w:name w:val="annotation reference"/>
    <w:basedOn w:val="Policepardfaut"/>
    <w:uiPriority w:val="99"/>
    <w:semiHidden/>
    <w:unhideWhenUsed/>
    <w:rsid w:val="003E4D8F"/>
    <w:rPr>
      <w:sz w:val="16"/>
      <w:szCs w:val="16"/>
    </w:rPr>
  </w:style>
  <w:style w:type="paragraph" w:styleId="Commentaire">
    <w:name w:val="annotation text"/>
    <w:basedOn w:val="Normal"/>
    <w:link w:val="CommentaireCar"/>
    <w:uiPriority w:val="99"/>
    <w:semiHidden/>
    <w:unhideWhenUsed/>
    <w:rsid w:val="003E4D8F"/>
    <w:rPr>
      <w:sz w:val="20"/>
      <w:szCs w:val="20"/>
    </w:rPr>
  </w:style>
  <w:style w:type="character" w:customStyle="1" w:styleId="CommentaireCar">
    <w:name w:val="Commentaire Car"/>
    <w:basedOn w:val="Policepardfaut"/>
    <w:link w:val="Commentaire"/>
    <w:uiPriority w:val="99"/>
    <w:semiHidden/>
    <w:rsid w:val="003E4D8F"/>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3E4D8F"/>
    <w:rPr>
      <w:b/>
      <w:bCs/>
    </w:rPr>
  </w:style>
  <w:style w:type="character" w:customStyle="1" w:styleId="ObjetducommentaireCar">
    <w:name w:val="Objet du commentaire Car"/>
    <w:basedOn w:val="CommentaireCar"/>
    <w:link w:val="Objetducommentaire"/>
    <w:uiPriority w:val="99"/>
    <w:semiHidden/>
    <w:rsid w:val="003E4D8F"/>
    <w:rPr>
      <w:rFonts w:ascii="Arial" w:hAnsi="Arial"/>
      <w:b/>
      <w:bCs/>
      <w:sz w:val="20"/>
      <w:szCs w:val="20"/>
    </w:rPr>
  </w:style>
  <w:style w:type="paragraph" w:styleId="Notedebasdepage">
    <w:name w:val="footnote text"/>
    <w:basedOn w:val="Normal"/>
    <w:link w:val="NotedebasdepageCar"/>
    <w:uiPriority w:val="99"/>
    <w:unhideWhenUsed/>
    <w:rsid w:val="003E4D8F"/>
    <w:pPr>
      <w:spacing w:after="0"/>
      <w:jc w:val="left"/>
    </w:pPr>
    <w:rPr>
      <w:rFonts w:ascii="Bookman Old Style" w:hAnsi="Bookman Old Style"/>
      <w:sz w:val="20"/>
      <w:szCs w:val="20"/>
    </w:rPr>
  </w:style>
  <w:style w:type="character" w:customStyle="1" w:styleId="NotedebasdepageCar">
    <w:name w:val="Note de bas de page Car"/>
    <w:basedOn w:val="Policepardfaut"/>
    <w:link w:val="Notedebasdepage"/>
    <w:uiPriority w:val="99"/>
    <w:rsid w:val="003E4D8F"/>
    <w:rPr>
      <w:rFonts w:ascii="Bookman Old Style" w:hAnsi="Bookman Old Style"/>
      <w:sz w:val="20"/>
      <w:szCs w:val="20"/>
    </w:rPr>
  </w:style>
  <w:style w:type="character" w:styleId="Appelnotedebasdep">
    <w:name w:val="footnote reference"/>
    <w:basedOn w:val="Policepardfaut"/>
    <w:uiPriority w:val="99"/>
    <w:semiHidden/>
    <w:unhideWhenUsed/>
    <w:rsid w:val="003E4D8F"/>
    <w:rPr>
      <w:vertAlign w:val="superscript"/>
    </w:rPr>
  </w:style>
  <w:style w:type="paragraph" w:customStyle="1" w:styleId="Sous-titrevert">
    <w:name w:val="Sous-titre vert"/>
    <w:basedOn w:val="Titre2"/>
    <w:link w:val="Sous-titrevertCar"/>
    <w:qFormat/>
    <w:rsid w:val="009C3E43"/>
    <w:pPr>
      <w:numPr>
        <w:ilvl w:val="0"/>
        <w:numId w:val="0"/>
      </w:numPr>
      <w:spacing w:before="240"/>
      <w:ind w:left="709" w:hanging="709"/>
    </w:pPr>
    <w:rPr>
      <w:color w:val="9FAF48"/>
      <w:sz w:val="28"/>
      <w:szCs w:val="28"/>
    </w:rPr>
  </w:style>
  <w:style w:type="paragraph" w:customStyle="1" w:styleId="TitreTableau">
    <w:name w:val="Titre Tableau"/>
    <w:basedOn w:val="Normal"/>
    <w:qFormat/>
    <w:rsid w:val="00D3385D"/>
    <w:pPr>
      <w:spacing w:before="120" w:after="120"/>
      <w:ind w:left="113" w:right="113"/>
      <w:jc w:val="left"/>
    </w:pPr>
    <w:rPr>
      <w:rFonts w:ascii="Arial Narrow" w:hAnsi="Arial Narrow" w:cs="Arial"/>
      <w:b/>
      <w:bCs/>
      <w:color w:val="FFFFFF" w:themeColor="background1"/>
      <w:sz w:val="28"/>
      <w:szCs w:val="28"/>
      <w:lang w:eastAsia="zh-CN"/>
    </w:rPr>
  </w:style>
  <w:style w:type="paragraph" w:customStyle="1" w:styleId="Style1">
    <w:name w:val="Style1"/>
    <w:basedOn w:val="Pieddepage"/>
    <w:qFormat/>
    <w:rsid w:val="001A1BF0"/>
    <w:rPr>
      <w:rFonts w:ascii="Raleway SemiBold" w:hAnsi="Raleway SemiBold" w:cs="Arial"/>
      <w:b/>
      <w:noProof/>
      <w:color w:val="25ACC1"/>
      <w:sz w:val="28"/>
    </w:rPr>
  </w:style>
  <w:style w:type="paragraph" w:customStyle="1" w:styleId="Sous-sous-titre">
    <w:name w:val="Sous-sous-titre"/>
    <w:basedOn w:val="Titre3"/>
    <w:qFormat/>
    <w:rsid w:val="00F74CB8"/>
    <w:rPr>
      <w:rFonts w:ascii="Raleway" w:hAnsi="Raleway"/>
      <w:b w:val="0"/>
      <w:bCs/>
    </w:rPr>
  </w:style>
  <w:style w:type="character" w:styleId="Lienhypertextesuivivisit">
    <w:name w:val="FollowedHyperlink"/>
    <w:basedOn w:val="Policepardfaut"/>
    <w:uiPriority w:val="99"/>
    <w:semiHidden/>
    <w:unhideWhenUsed/>
    <w:rsid w:val="00704A52"/>
    <w:rPr>
      <w:color w:val="954F72" w:themeColor="followedHyperlink"/>
      <w:u w:val="single"/>
    </w:rPr>
  </w:style>
  <w:style w:type="character" w:customStyle="1" w:styleId="Titre4Car">
    <w:name w:val="Titre 4 Car"/>
    <w:basedOn w:val="Policepardfaut"/>
    <w:link w:val="Titre4"/>
    <w:uiPriority w:val="9"/>
    <w:semiHidden/>
    <w:rsid w:val="00F43EDA"/>
    <w:rPr>
      <w:rFonts w:asciiTheme="majorHAnsi" w:eastAsiaTheme="majorEastAsia" w:hAnsiTheme="majorHAnsi" w:cstheme="majorBidi"/>
      <w:i/>
      <w:iCs/>
      <w:color w:val="2F5496" w:themeColor="accent1" w:themeShade="BF"/>
    </w:rPr>
  </w:style>
  <w:style w:type="character" w:customStyle="1" w:styleId="Titre6Car">
    <w:name w:val="Titre 6 Car"/>
    <w:basedOn w:val="Policepardfaut"/>
    <w:link w:val="Titre6"/>
    <w:uiPriority w:val="9"/>
    <w:semiHidden/>
    <w:rsid w:val="00F43EDA"/>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F43EDA"/>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F43EDA"/>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F43EDA"/>
    <w:rPr>
      <w:rFonts w:asciiTheme="majorHAnsi" w:eastAsiaTheme="majorEastAsia" w:hAnsiTheme="majorHAnsi" w:cstheme="majorBidi"/>
      <w:i/>
      <w:iCs/>
      <w:color w:val="272727" w:themeColor="text1" w:themeTint="D8"/>
      <w:sz w:val="21"/>
      <w:szCs w:val="21"/>
    </w:rPr>
  </w:style>
  <w:style w:type="paragraph" w:customStyle="1" w:styleId="Style2">
    <w:name w:val="Style2"/>
    <w:basedOn w:val="Normal"/>
    <w:qFormat/>
    <w:rsid w:val="00F43EDA"/>
    <w:pPr>
      <w:numPr>
        <w:ilvl w:val="2"/>
        <w:numId w:val="4"/>
      </w:numPr>
    </w:pPr>
  </w:style>
  <w:style w:type="paragraph" w:customStyle="1" w:styleId="Crochets">
    <w:name w:val="Crochets"/>
    <w:basedOn w:val="Paragraphedeliste"/>
    <w:qFormat/>
    <w:rsid w:val="00F43EDA"/>
    <w:pPr>
      <w:numPr>
        <w:numId w:val="1"/>
      </w:numPr>
      <w:ind w:left="1560" w:hanging="425"/>
      <w:jc w:val="left"/>
    </w:pPr>
    <w:rPr>
      <w:color w:val="FFFFFF" w:themeColor="background1"/>
    </w:rPr>
  </w:style>
  <w:style w:type="paragraph" w:customStyle="1" w:styleId="Bulle">
    <w:name w:val="Bulle"/>
    <w:basedOn w:val="Normal"/>
    <w:qFormat/>
    <w:rsid w:val="00F43EDA"/>
    <w:pPr>
      <w:spacing w:after="0"/>
      <w:jc w:val="center"/>
    </w:pPr>
    <w:rPr>
      <w:rFonts w:ascii="Arial Narrow" w:hAnsi="Arial Narrow"/>
      <w:b/>
      <w:bCs/>
      <w:color w:val="FFFFFF" w:themeColor="background1"/>
      <w:sz w:val="34"/>
    </w:rPr>
  </w:style>
  <w:style w:type="paragraph" w:customStyle="1" w:styleId="Lien">
    <w:name w:val="Lien"/>
    <w:basedOn w:val="Normal"/>
    <w:qFormat/>
    <w:rsid w:val="009C3E43"/>
    <w:rPr>
      <w:color w:val="25ACC1"/>
      <w:u w:val="single"/>
    </w:rPr>
  </w:style>
  <w:style w:type="paragraph" w:customStyle="1" w:styleId="retraitnumro">
    <w:name w:val="retrait numéro"/>
    <w:basedOn w:val="Normal"/>
    <w:qFormat/>
    <w:rsid w:val="007938F5"/>
    <w:pPr>
      <w:ind w:left="709" w:hanging="425"/>
    </w:pPr>
  </w:style>
  <w:style w:type="paragraph" w:customStyle="1" w:styleId="Puces">
    <w:name w:val="Puces"/>
    <w:basedOn w:val="Paragraphedeliste"/>
    <w:qFormat/>
    <w:rsid w:val="001C2E5A"/>
    <w:pPr>
      <w:numPr>
        <w:numId w:val="2"/>
      </w:numPr>
      <w:ind w:hanging="436"/>
    </w:pPr>
  </w:style>
  <w:style w:type="paragraph" w:customStyle="1" w:styleId="TABLEAUTextebold">
    <w:name w:val="TABLEAU Texte bold"/>
    <w:basedOn w:val="Normal"/>
    <w:qFormat/>
    <w:rsid w:val="002869B0"/>
    <w:pPr>
      <w:spacing w:before="120" w:after="120" w:line="240" w:lineRule="exact"/>
      <w:ind w:left="113" w:right="113"/>
      <w:jc w:val="left"/>
    </w:pPr>
    <w:rPr>
      <w:rFonts w:ascii="Arial Narrow" w:hAnsi="Arial Narrow" w:cs="Arial"/>
      <w:b/>
      <w:bCs/>
      <w:sz w:val="24"/>
      <w:szCs w:val="24"/>
      <w:lang w:eastAsia="zh-CN"/>
    </w:rPr>
  </w:style>
  <w:style w:type="paragraph" w:customStyle="1" w:styleId="TABLEAUTexte">
    <w:name w:val="TABLEAU Texte"/>
    <w:basedOn w:val="Normal"/>
    <w:qFormat/>
    <w:rsid w:val="00D3385D"/>
    <w:pPr>
      <w:spacing w:before="120" w:after="120"/>
      <w:ind w:left="113" w:right="113"/>
      <w:jc w:val="left"/>
    </w:pPr>
    <w:rPr>
      <w:rFonts w:ascii="Arial Narrow" w:hAnsi="Arial Narrow"/>
      <w:sz w:val="24"/>
    </w:rPr>
  </w:style>
  <w:style w:type="paragraph" w:customStyle="1" w:styleId="TABLEAUpuces">
    <w:name w:val="TABLEAU puces"/>
    <w:basedOn w:val="TABLEAUTexte"/>
    <w:qFormat/>
    <w:rsid w:val="002C3E83"/>
    <w:pPr>
      <w:numPr>
        <w:numId w:val="5"/>
      </w:numPr>
      <w:spacing w:before="0" w:after="0"/>
      <w:ind w:left="448"/>
    </w:pPr>
    <w:rPr>
      <w:lang w:eastAsia="zh-CN"/>
    </w:rPr>
  </w:style>
  <w:style w:type="paragraph" w:customStyle="1" w:styleId="TitreAnnexe">
    <w:name w:val="Titre Annexe"/>
    <w:basedOn w:val="Titre1"/>
    <w:qFormat/>
    <w:rsid w:val="002F7D05"/>
    <w:pPr>
      <w:numPr>
        <w:numId w:val="0"/>
      </w:numPr>
    </w:pPr>
    <w:rPr>
      <w:sz w:val="40"/>
      <w:szCs w:val="40"/>
    </w:rPr>
  </w:style>
  <w:style w:type="paragraph" w:customStyle="1" w:styleId="Sous-TitreAnnexe">
    <w:name w:val="Sous-Titre Annexe"/>
    <w:basedOn w:val="Titre2"/>
    <w:qFormat/>
    <w:rsid w:val="00B80487"/>
    <w:pPr>
      <w:numPr>
        <w:ilvl w:val="0"/>
        <w:numId w:val="0"/>
      </w:numPr>
      <w:ind w:left="709" w:hanging="709"/>
    </w:pPr>
  </w:style>
  <w:style w:type="paragraph" w:customStyle="1" w:styleId="TABLEAUNumro">
    <w:name w:val="TABLEAU Numéro"/>
    <w:basedOn w:val="Normal"/>
    <w:qFormat/>
    <w:rsid w:val="00F328B7"/>
    <w:pPr>
      <w:numPr>
        <w:numId w:val="16"/>
      </w:numPr>
      <w:spacing w:before="120" w:after="120"/>
      <w:ind w:left="465" w:right="113" w:hanging="357"/>
      <w:jc w:val="left"/>
    </w:pPr>
    <w:rPr>
      <w:rFonts w:ascii="Arial Narrow" w:hAnsi="Arial Narrow" w:cs="Arial"/>
      <w:bCs/>
      <w:sz w:val="24"/>
      <w:lang w:eastAsia="zh-CN"/>
    </w:rPr>
  </w:style>
  <w:style w:type="paragraph" w:styleId="Titre">
    <w:name w:val="Title"/>
    <w:basedOn w:val="Normal"/>
    <w:next w:val="Normal"/>
    <w:link w:val="TitreCar"/>
    <w:uiPriority w:val="10"/>
    <w:qFormat/>
    <w:rsid w:val="001171F9"/>
    <w:pPr>
      <w:spacing w:after="0"/>
      <w:contextualSpacing/>
      <w:jc w:val="left"/>
    </w:pPr>
    <w:rPr>
      <w:rFonts w:ascii="Raleway Light" w:eastAsiaTheme="majorEastAsia" w:hAnsi="Raleway Light" w:cstheme="majorBidi"/>
      <w:color w:val="92D050"/>
      <w:spacing w:val="-10"/>
      <w:kern w:val="28"/>
      <w:sz w:val="60"/>
      <w:szCs w:val="56"/>
    </w:rPr>
  </w:style>
  <w:style w:type="character" w:customStyle="1" w:styleId="TitreCar">
    <w:name w:val="Titre Car"/>
    <w:basedOn w:val="Policepardfaut"/>
    <w:link w:val="Titre"/>
    <w:uiPriority w:val="10"/>
    <w:rsid w:val="001171F9"/>
    <w:rPr>
      <w:rFonts w:ascii="Raleway Light" w:eastAsiaTheme="majorEastAsia" w:hAnsi="Raleway Light" w:cstheme="majorBidi"/>
      <w:color w:val="92D050"/>
      <w:spacing w:val="-10"/>
      <w:kern w:val="28"/>
      <w:sz w:val="60"/>
      <w:szCs w:val="56"/>
    </w:rPr>
  </w:style>
  <w:style w:type="paragraph" w:styleId="TM1">
    <w:name w:val="toc 1"/>
    <w:basedOn w:val="Normal"/>
    <w:next w:val="Normal"/>
    <w:autoRedefine/>
    <w:uiPriority w:val="39"/>
    <w:unhideWhenUsed/>
    <w:rsid w:val="00E541A9"/>
    <w:pPr>
      <w:tabs>
        <w:tab w:val="left" w:pos="440"/>
        <w:tab w:val="right" w:pos="8636"/>
      </w:tabs>
      <w:spacing w:before="140" w:after="120"/>
      <w:jc w:val="left"/>
    </w:pPr>
    <w:rPr>
      <w:rFonts w:ascii="Raleway Medium" w:eastAsia="SimSun" w:hAnsi="Raleway Medium" w:cstheme="minorHAnsi"/>
      <w:noProof/>
      <w:color w:val="324D72"/>
      <w:lang w:eastAsia="zh-CN"/>
    </w:rPr>
  </w:style>
  <w:style w:type="paragraph" w:styleId="TM2">
    <w:name w:val="toc 2"/>
    <w:basedOn w:val="Normal"/>
    <w:next w:val="Normal"/>
    <w:autoRedefine/>
    <w:uiPriority w:val="39"/>
    <w:unhideWhenUsed/>
    <w:rsid w:val="0042098D"/>
    <w:pPr>
      <w:spacing w:before="120" w:after="0"/>
      <w:ind w:left="220"/>
      <w:jc w:val="left"/>
    </w:pPr>
    <w:rPr>
      <w:rFonts w:asciiTheme="minorHAnsi" w:hAnsiTheme="minorHAnsi" w:cstheme="minorHAnsi"/>
      <w:i/>
      <w:iCs/>
      <w:sz w:val="20"/>
      <w:szCs w:val="20"/>
    </w:rPr>
  </w:style>
  <w:style w:type="paragraph" w:styleId="TM3">
    <w:name w:val="toc 3"/>
    <w:basedOn w:val="Normal"/>
    <w:next w:val="Normal"/>
    <w:autoRedefine/>
    <w:uiPriority w:val="39"/>
    <w:unhideWhenUsed/>
    <w:rsid w:val="0042098D"/>
    <w:pPr>
      <w:spacing w:after="0"/>
      <w:ind w:left="440"/>
      <w:jc w:val="left"/>
    </w:pPr>
    <w:rPr>
      <w:rFonts w:asciiTheme="minorHAnsi" w:hAnsiTheme="minorHAnsi" w:cstheme="minorHAnsi"/>
      <w:sz w:val="20"/>
      <w:szCs w:val="20"/>
    </w:rPr>
  </w:style>
  <w:style w:type="paragraph" w:styleId="TM4">
    <w:name w:val="toc 4"/>
    <w:basedOn w:val="Normal"/>
    <w:next w:val="Normal"/>
    <w:autoRedefine/>
    <w:uiPriority w:val="39"/>
    <w:unhideWhenUsed/>
    <w:rsid w:val="0042098D"/>
    <w:pPr>
      <w:spacing w:after="0"/>
      <w:ind w:left="660"/>
      <w:jc w:val="left"/>
    </w:pPr>
    <w:rPr>
      <w:rFonts w:asciiTheme="minorHAnsi" w:hAnsiTheme="minorHAnsi" w:cstheme="minorHAnsi"/>
      <w:sz w:val="20"/>
      <w:szCs w:val="20"/>
    </w:rPr>
  </w:style>
  <w:style w:type="paragraph" w:styleId="TM5">
    <w:name w:val="toc 5"/>
    <w:basedOn w:val="Normal"/>
    <w:next w:val="Normal"/>
    <w:autoRedefine/>
    <w:uiPriority w:val="39"/>
    <w:unhideWhenUsed/>
    <w:rsid w:val="0042098D"/>
    <w:pPr>
      <w:spacing w:after="0"/>
      <w:ind w:left="880"/>
      <w:jc w:val="left"/>
    </w:pPr>
    <w:rPr>
      <w:rFonts w:asciiTheme="minorHAnsi" w:hAnsiTheme="minorHAnsi" w:cstheme="minorHAnsi"/>
      <w:sz w:val="20"/>
      <w:szCs w:val="20"/>
    </w:rPr>
  </w:style>
  <w:style w:type="paragraph" w:styleId="TM6">
    <w:name w:val="toc 6"/>
    <w:basedOn w:val="Normal"/>
    <w:next w:val="Normal"/>
    <w:autoRedefine/>
    <w:uiPriority w:val="39"/>
    <w:unhideWhenUsed/>
    <w:rsid w:val="0042098D"/>
    <w:pPr>
      <w:spacing w:after="0"/>
      <w:ind w:left="1100"/>
      <w:jc w:val="left"/>
    </w:pPr>
    <w:rPr>
      <w:rFonts w:asciiTheme="minorHAnsi" w:hAnsiTheme="minorHAnsi" w:cstheme="minorHAnsi"/>
      <w:sz w:val="20"/>
      <w:szCs w:val="20"/>
    </w:rPr>
  </w:style>
  <w:style w:type="paragraph" w:styleId="TM7">
    <w:name w:val="toc 7"/>
    <w:basedOn w:val="Normal"/>
    <w:next w:val="Normal"/>
    <w:autoRedefine/>
    <w:uiPriority w:val="39"/>
    <w:unhideWhenUsed/>
    <w:rsid w:val="0042098D"/>
    <w:pPr>
      <w:spacing w:after="0"/>
      <w:ind w:left="1320"/>
      <w:jc w:val="left"/>
    </w:pPr>
    <w:rPr>
      <w:rFonts w:asciiTheme="minorHAnsi" w:hAnsiTheme="minorHAnsi" w:cstheme="minorHAnsi"/>
      <w:sz w:val="20"/>
      <w:szCs w:val="20"/>
    </w:rPr>
  </w:style>
  <w:style w:type="paragraph" w:styleId="TM8">
    <w:name w:val="toc 8"/>
    <w:basedOn w:val="Normal"/>
    <w:next w:val="Normal"/>
    <w:autoRedefine/>
    <w:uiPriority w:val="39"/>
    <w:unhideWhenUsed/>
    <w:rsid w:val="0042098D"/>
    <w:pPr>
      <w:spacing w:after="0"/>
      <w:ind w:left="1540"/>
      <w:jc w:val="left"/>
    </w:pPr>
    <w:rPr>
      <w:rFonts w:asciiTheme="minorHAnsi" w:hAnsiTheme="minorHAnsi" w:cstheme="minorHAnsi"/>
      <w:sz w:val="20"/>
      <w:szCs w:val="20"/>
    </w:rPr>
  </w:style>
  <w:style w:type="paragraph" w:styleId="TM9">
    <w:name w:val="toc 9"/>
    <w:basedOn w:val="Normal"/>
    <w:next w:val="Normal"/>
    <w:autoRedefine/>
    <w:uiPriority w:val="39"/>
    <w:unhideWhenUsed/>
    <w:rsid w:val="0042098D"/>
    <w:pPr>
      <w:spacing w:after="0"/>
      <w:ind w:left="1760"/>
      <w:jc w:val="left"/>
    </w:pPr>
    <w:rPr>
      <w:rFonts w:asciiTheme="minorHAnsi" w:hAnsiTheme="minorHAnsi" w:cstheme="minorHAnsi"/>
      <w:sz w:val="20"/>
      <w:szCs w:val="20"/>
    </w:rPr>
  </w:style>
  <w:style w:type="character" w:styleId="Accentuationintense">
    <w:name w:val="Intense Emphasis"/>
    <w:basedOn w:val="Policepardfaut"/>
    <w:uiPriority w:val="21"/>
    <w:qFormat/>
    <w:rsid w:val="00F815A3"/>
    <w:rPr>
      <w:i/>
      <w:iCs/>
      <w:color w:val="4472C4" w:themeColor="accent1"/>
    </w:rPr>
  </w:style>
  <w:style w:type="paragraph" w:styleId="NormalWeb">
    <w:name w:val="Normal (Web)"/>
    <w:basedOn w:val="Normal"/>
    <w:uiPriority w:val="99"/>
    <w:unhideWhenUsed/>
    <w:rsid w:val="00F815A3"/>
    <w:pPr>
      <w:spacing w:before="100" w:beforeAutospacing="1" w:after="100" w:afterAutospacing="1"/>
      <w:jc w:val="left"/>
    </w:pPr>
    <w:rPr>
      <w:rFonts w:ascii="Times New Roman" w:eastAsia="Times New Roman" w:hAnsi="Times New Roman" w:cs="Times New Roman"/>
      <w:sz w:val="24"/>
      <w:szCs w:val="24"/>
      <w:lang w:eastAsia="fr-CA"/>
    </w:rPr>
  </w:style>
  <w:style w:type="character" w:styleId="Accentuation">
    <w:name w:val="Emphasis"/>
    <w:basedOn w:val="Policepardfaut"/>
    <w:uiPriority w:val="20"/>
    <w:qFormat/>
    <w:rsid w:val="003853DC"/>
    <w:rPr>
      <w:i/>
      <w:iCs/>
    </w:rPr>
  </w:style>
  <w:style w:type="paragraph" w:customStyle="1" w:styleId="citation2">
    <w:name w:val="citation2"/>
    <w:basedOn w:val="Sous-titrevert"/>
    <w:link w:val="citation2Car"/>
    <w:qFormat/>
    <w:rsid w:val="00684A85"/>
    <w:pPr>
      <w:spacing w:before="120" w:after="120"/>
      <w:ind w:right="-84"/>
      <w:jc w:val="center"/>
    </w:pPr>
    <w:rPr>
      <w:rFonts w:ascii="Arial" w:hAnsi="Arial"/>
      <w:b w:val="0"/>
      <w:i/>
      <w:sz w:val="24"/>
    </w:rPr>
  </w:style>
  <w:style w:type="character" w:customStyle="1" w:styleId="Sous-titrevertCar">
    <w:name w:val="Sous-titre vert Car"/>
    <w:basedOn w:val="Titre2Car"/>
    <w:link w:val="Sous-titrevert"/>
    <w:rsid w:val="00684A85"/>
    <w:rPr>
      <w:rFonts w:ascii="Raleway" w:eastAsiaTheme="majorEastAsia" w:hAnsi="Raleway" w:cstheme="majorBidi"/>
      <w:b/>
      <w:color w:val="9FAF48"/>
      <w:sz w:val="28"/>
      <w:szCs w:val="28"/>
    </w:rPr>
  </w:style>
  <w:style w:type="character" w:customStyle="1" w:styleId="citation2Car">
    <w:name w:val="citation2 Car"/>
    <w:basedOn w:val="Sous-titrevertCar"/>
    <w:link w:val="citation2"/>
    <w:rsid w:val="00684A85"/>
    <w:rPr>
      <w:rFonts w:ascii="Arial" w:eastAsiaTheme="majorEastAsia" w:hAnsi="Arial" w:cstheme="majorBidi"/>
      <w:b w:val="0"/>
      <w:i/>
      <w:color w:val="9FAF48"/>
      <w:sz w:val="24"/>
      <w:szCs w:val="28"/>
    </w:rPr>
  </w:style>
  <w:style w:type="character" w:customStyle="1" w:styleId="A16">
    <w:name w:val="A16"/>
    <w:uiPriority w:val="99"/>
    <w:rsid w:val="00F357E5"/>
    <w:rPr>
      <w:rFonts w:cs="Interstate Light"/>
      <w:color w:val="000000"/>
      <w:sz w:val="10"/>
      <w:szCs w:val="10"/>
    </w:rPr>
  </w:style>
  <w:style w:type="paragraph" w:customStyle="1" w:styleId="Default">
    <w:name w:val="Default"/>
    <w:rsid w:val="003A6676"/>
    <w:pPr>
      <w:autoSpaceDE w:val="0"/>
      <w:autoSpaceDN w:val="0"/>
      <w:adjustRightInd w:val="0"/>
      <w:spacing w:after="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728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footer" Target="footer10.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9.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s://www12.statcan.gc.ca/census-recensement/2016/dp-pd/hlt-fst/imm/Tableau.cfm?Lang=F&amp;T=11&amp;Geo=00&amp;SP=1&amp;view=1&amp;age=10&amp;sex=1" TargetMode="External"/><Relationship Id="rId2" Type="http://schemas.openxmlformats.org/officeDocument/2006/relationships/hyperlink" Target="https://www150.statcan.gc.ca/t1/tbl1/fr/tv.action?pid=1110023901" TargetMode="External"/><Relationship Id="rId1" Type="http://schemas.openxmlformats.org/officeDocument/2006/relationships/hyperlink" Target="https://www.stat.gouv.qc.ca/statistiques/population-demographie/deces-mortalite/4p1.htm" TargetMode="External"/><Relationship Id="rId4" Type="http://schemas.openxmlformats.org/officeDocument/2006/relationships/hyperlink" Target="https://www.canada.ca/fr/emploi-developpement-social/ministere/aines/forum/isolement-social-lgbtq.htm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6D10B9-AE3D-4520-82CA-D6A865EE0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2266</Words>
  <Characters>12463</Characters>
  <Application>Microsoft Office Word</Application>
  <DocSecurity>0</DocSecurity>
  <Lines>103</Lines>
  <Paragraphs>29</Paragraphs>
  <ScaleCrop>false</ScaleCrop>
  <HeadingPairs>
    <vt:vector size="4" baseType="variant">
      <vt:variant>
        <vt:lpstr>Titre</vt:lpstr>
      </vt:variant>
      <vt:variant>
        <vt:i4>1</vt:i4>
      </vt:variant>
      <vt:variant>
        <vt:lpstr>Titres</vt:lpstr>
      </vt:variant>
      <vt:variant>
        <vt:i4>14</vt:i4>
      </vt:variant>
    </vt:vector>
  </HeadingPairs>
  <TitlesOfParts>
    <vt:vector size="15" baseType="lpstr">
      <vt:lpstr>Les caractéristiques des aînés</vt:lpstr>
      <vt:lpstr>Avant-propos</vt:lpstr>
      <vt:lpstr>Contenu</vt:lpstr>
      <vt:lpstr>Introduction</vt:lpstr>
      <vt:lpstr>Qu’est-ce qu’une personne aînée?</vt:lpstr>
      <vt:lpstr>    Individuellement, rien n’oblige quelqu’un à se définir comme une personne aînée </vt:lpstr>
      <vt:lpstr>Caractéristiques des aînés  du Québec </vt:lpstr>
      <vt:lpstr>    L’âge et l’espérance de vie</vt:lpstr>
      <vt:lpstr>    « Grâce à ces aménagements qui soutiennent une vie hors du domicile, les aînés s</vt:lpstr>
      <vt:lpstr>    L’accès aux activités selon l’âge</vt:lpstr>
      <vt:lpstr>    3. Le genre et la diversité des champs d’intérêt</vt:lpstr>
      <vt:lpstr>    4. Le revenu et les inégalités</vt:lpstr>
      <vt:lpstr>    5. Les aînés immigrants </vt:lpstr>
      <vt:lpstr>    6. L’orientation sexuelle et l’identité de genre</vt:lpstr>
      <vt:lpstr>Conclusion</vt:lpstr>
    </vt:vector>
  </TitlesOfParts>
  <Company/>
  <LinksUpToDate>false</LinksUpToDate>
  <CharactersWithSpaces>14700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caractéristiques des aînés</dc:title>
  <dc:subject>Description de l'hétérogénéité des aînés</dc:subject>
  <dc:creator>Garon, S., Paris, M., Goudreault, N., Rémillard-Boilard, S., Veil, A.</dc:creator>
  <cp:keywords>caractéristiques des aînés; hétérogénéité</cp:keywords>
  <dc:description/>
  <cp:lastModifiedBy>Nicolas Goudreault</cp:lastModifiedBy>
  <cp:revision>3</cp:revision>
  <cp:lastPrinted>2021-09-26T03:55:00Z</cp:lastPrinted>
  <dcterms:created xsi:type="dcterms:W3CDTF">2021-10-20T15:22:00Z</dcterms:created>
  <dcterms:modified xsi:type="dcterms:W3CDTF">2021-10-22T14:23:00Z</dcterms:modified>
</cp:coreProperties>
</file>